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2180" w:type="dxa"/>
        <w:tblCellMar>
          <w:top w:w="0" w:type="dxa"/>
          <w:left w:w="0" w:type="dxa"/>
          <w:bottom w:w="0" w:type="dxa"/>
          <w:right w:w="0" w:type="dxa"/>
        </w:tblCellMar>
      </w:tblPr>
      <w:tr>
        <w:trPr>
          <w:trHeight w:val="234"/>
        </w:trPr>
        <w:tc>
          <w:tcPr>
            <w:tcW w:w="600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Date of Report (Date of earliest event reported): 01/08/2020</w:t>
            </w:r>
          </w:p>
        </w:tc>
        <w:tc>
          <w:tcPr>
            <w:tcW w:w="1600" w:type="dxa"/>
            <w:vAlign w:val="bottom"/>
          </w:tcPr>
          <w:p>
            <w:pPr>
              <w:spacing w:after="0"/>
              <w:rPr>
                <w:sz w:val="20"/>
                <w:szCs w:val="20"/>
                <w:color w:val="auto"/>
              </w:rPr>
            </w:pPr>
          </w:p>
        </w:tc>
      </w:tr>
      <w:tr>
        <w:trPr>
          <w:trHeight w:val="414"/>
        </w:trPr>
        <w:tc>
          <w:tcPr>
            <w:tcW w:w="6000" w:type="dxa"/>
            <w:vAlign w:val="bottom"/>
          </w:tcPr>
          <w:p>
            <w:pPr>
              <w:jc w:val="center"/>
              <w:ind w:left="750"/>
              <w:spacing w:after="0"/>
              <w:rPr>
                <w:sz w:val="20"/>
                <w:szCs w:val="20"/>
                <w:color w:val="auto"/>
              </w:rPr>
            </w:pPr>
            <w:r>
              <w:rPr>
                <w:rFonts w:ascii="Arial" w:cs="Arial" w:eastAsia="Arial" w:hAnsi="Arial"/>
                <w:sz w:val="18"/>
                <w:szCs w:val="18"/>
                <w:b w:val="1"/>
                <w:bCs w:val="1"/>
                <w:color w:val="auto"/>
              </w:rPr>
              <w:t>NATURAL ALTERNATIVES INTERNATIONAL, INC.</w:t>
            </w:r>
          </w:p>
        </w:tc>
        <w:tc>
          <w:tcPr>
            <w:tcW w:w="1600" w:type="dxa"/>
            <w:vAlign w:val="bottom"/>
          </w:tcPr>
          <w:p>
            <w:pPr>
              <w:spacing w:after="0"/>
              <w:rPr>
                <w:sz w:val="24"/>
                <w:szCs w:val="24"/>
                <w:color w:val="auto"/>
              </w:rPr>
            </w:pPr>
          </w:p>
        </w:tc>
      </w:tr>
      <w:tr>
        <w:trPr>
          <w:trHeight w:val="234"/>
        </w:trPr>
        <w:tc>
          <w:tcPr>
            <w:tcW w:w="600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600" w:type="dxa"/>
            <w:vAlign w:val="bottom"/>
          </w:tcPr>
          <w:p>
            <w:pPr>
              <w:spacing w:after="0"/>
              <w:rPr>
                <w:sz w:val="20"/>
                <w:szCs w:val="20"/>
                <w:color w:val="auto"/>
              </w:rPr>
            </w:pPr>
          </w:p>
        </w:tc>
      </w:tr>
      <w:tr>
        <w:trPr>
          <w:trHeight w:val="432"/>
        </w:trPr>
        <w:tc>
          <w:tcPr>
            <w:tcW w:w="600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Commission File Number: 000-15701</w:t>
            </w:r>
          </w:p>
        </w:tc>
        <w:tc>
          <w:tcPr>
            <w:tcW w:w="1600" w:type="dxa"/>
            <w:vAlign w:val="bottom"/>
          </w:tcPr>
          <w:p>
            <w:pPr>
              <w:spacing w:after="0"/>
              <w:rPr>
                <w:sz w:val="24"/>
                <w:szCs w:val="24"/>
                <w:color w:val="auto"/>
              </w:rPr>
            </w:pPr>
          </w:p>
        </w:tc>
      </w:tr>
      <w:tr>
        <w:trPr>
          <w:trHeight w:val="414"/>
        </w:trPr>
        <w:tc>
          <w:tcPr>
            <w:tcW w:w="6000" w:type="dxa"/>
            <w:vAlign w:val="bottom"/>
          </w:tcPr>
          <w:p>
            <w:pPr>
              <w:jc w:val="center"/>
              <w:ind w:right="367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84-1007839</w:t>
            </w:r>
          </w:p>
        </w:tc>
      </w:tr>
      <w:tr>
        <w:trPr>
          <w:trHeight w:val="216"/>
        </w:trPr>
        <w:tc>
          <w:tcPr>
            <w:tcW w:w="6000" w:type="dxa"/>
            <w:vAlign w:val="bottom"/>
          </w:tcPr>
          <w:p>
            <w:pPr>
              <w:jc w:val="center"/>
              <w:ind w:right="3670"/>
              <w:spacing w:after="0"/>
              <w:rPr>
                <w:sz w:val="20"/>
                <w:szCs w:val="20"/>
                <w:color w:val="auto"/>
              </w:rPr>
            </w:pPr>
            <w:r>
              <w:rPr>
                <w:rFonts w:ascii="Arial" w:cs="Arial" w:eastAsia="Arial" w:hAnsi="Arial"/>
                <w:sz w:val="18"/>
                <w:szCs w:val="18"/>
                <w:b w:val="1"/>
                <w:bCs w:val="1"/>
                <w:color w:val="auto"/>
                <w:w w:val="90"/>
              </w:rPr>
              <w:t>(State or other jurisdiction of</w:t>
            </w: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000" w:type="dxa"/>
            <w:vAlign w:val="bottom"/>
          </w:tcPr>
          <w:p>
            <w:pPr>
              <w:jc w:val="center"/>
              <w:ind w:right="3670"/>
              <w:spacing w:after="0"/>
              <w:rPr>
                <w:sz w:val="20"/>
                <w:szCs w:val="20"/>
                <w:color w:val="auto"/>
              </w:rPr>
            </w:pPr>
            <w:r>
              <w:rPr>
                <w:rFonts w:ascii="Arial" w:cs="Arial" w:eastAsia="Arial" w:hAnsi="Arial"/>
                <w:sz w:val="18"/>
                <w:szCs w:val="18"/>
                <w:b w:val="1"/>
                <w:bCs w:val="1"/>
                <w:color w:val="auto"/>
                <w:w w:val="91"/>
              </w:rPr>
              <w:t>incorporation)</w:t>
            </w:r>
          </w:p>
        </w:tc>
        <w:tc>
          <w:tcPr>
            <w:tcW w:w="160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6000" w:type="dxa"/>
            <w:vAlign w:val="bottom"/>
          </w:tcPr>
          <w:p>
            <w:pPr>
              <w:jc w:val="center"/>
              <w:ind w:left="790"/>
              <w:spacing w:after="0"/>
              <w:rPr>
                <w:sz w:val="20"/>
                <w:szCs w:val="20"/>
                <w:color w:val="auto"/>
              </w:rPr>
            </w:pPr>
            <w:r>
              <w:rPr>
                <w:rFonts w:ascii="Arial" w:cs="Arial" w:eastAsia="Arial" w:hAnsi="Arial"/>
                <w:sz w:val="18"/>
                <w:szCs w:val="18"/>
                <w:b w:val="1"/>
                <w:bCs w:val="1"/>
                <w:color w:val="auto"/>
                <w:w w:val="91"/>
              </w:rPr>
              <w:t>1535 Faraday Avenue, Carlsbad, CA 92008</w:t>
            </w:r>
          </w:p>
        </w:tc>
        <w:tc>
          <w:tcPr>
            <w:tcW w:w="1600" w:type="dxa"/>
            <w:vAlign w:val="bottom"/>
          </w:tcPr>
          <w:p>
            <w:pPr>
              <w:spacing w:after="0"/>
              <w:rPr>
                <w:sz w:val="24"/>
                <w:szCs w:val="24"/>
                <w:color w:val="auto"/>
              </w:rPr>
            </w:pPr>
          </w:p>
        </w:tc>
      </w:tr>
      <w:tr>
        <w:trPr>
          <w:trHeight w:val="234"/>
        </w:trPr>
        <w:tc>
          <w:tcPr>
            <w:tcW w:w="600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00" w:type="dxa"/>
            <w:vAlign w:val="bottom"/>
          </w:tcPr>
          <w:p>
            <w:pPr>
              <w:spacing w:after="0"/>
              <w:rPr>
                <w:sz w:val="20"/>
                <w:szCs w:val="20"/>
                <w:color w:val="auto"/>
              </w:rPr>
            </w:pPr>
          </w:p>
        </w:tc>
      </w:tr>
      <w:tr>
        <w:trPr>
          <w:trHeight w:val="414"/>
        </w:trPr>
        <w:tc>
          <w:tcPr>
            <w:tcW w:w="600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760-736-7700</w:t>
            </w:r>
          </w:p>
        </w:tc>
        <w:tc>
          <w:tcPr>
            <w:tcW w:w="1600" w:type="dxa"/>
            <w:vAlign w:val="bottom"/>
          </w:tcPr>
          <w:p>
            <w:pPr>
              <w:spacing w:after="0"/>
              <w:rPr>
                <w:sz w:val="24"/>
                <w:szCs w:val="24"/>
                <w:color w:val="auto"/>
              </w:rPr>
            </w:pPr>
          </w:p>
        </w:tc>
      </w:tr>
      <w:tr>
        <w:trPr>
          <w:trHeight w:val="234"/>
        </w:trPr>
        <w:tc>
          <w:tcPr>
            <w:tcW w:w="600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00" w:type="dxa"/>
            <w:vAlign w:val="bottom"/>
          </w:tcPr>
          <w:p>
            <w:pPr>
              <w:spacing w:after="0"/>
              <w:rPr>
                <w:sz w:val="20"/>
                <w:szCs w:val="20"/>
                <w:color w:val="auto"/>
              </w:rPr>
            </w:pPr>
          </w:p>
        </w:tc>
      </w:tr>
      <w:tr>
        <w:trPr>
          <w:trHeight w:val="432"/>
        </w:trPr>
        <w:tc>
          <w:tcPr>
            <w:tcW w:w="600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00" w:type="dxa"/>
            <w:vAlign w:val="bottom"/>
          </w:tcPr>
          <w:p>
            <w:pPr>
              <w:spacing w:after="0"/>
              <w:rPr>
                <w:sz w:val="24"/>
                <w:szCs w:val="24"/>
                <w:color w:val="auto"/>
              </w:rPr>
            </w:pPr>
          </w:p>
        </w:tc>
      </w:tr>
    </w:tbl>
    <w:p>
      <w:pPr>
        <w:spacing w:after="0" w:line="198"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-927100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-652780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-378460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4225" cy="71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71374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200" w:lineRule="exact"/>
        <w:rPr>
          <w:sz w:val="24"/>
          <w:szCs w:val="24"/>
          <w:color w:val="auto"/>
        </w:rPr>
      </w:pPr>
    </w:p>
    <w:p>
      <w:pPr>
        <w:spacing w:after="0" w:line="255" w:lineRule="exact"/>
        <w:rPr>
          <w:sz w:val="24"/>
          <w:szCs w:val="24"/>
          <w:color w:val="auto"/>
        </w:rPr>
      </w:pPr>
    </w:p>
    <w:p>
      <w:pPr>
        <w:jc w:val="center"/>
        <w:ind w:left="780"/>
        <w:spacing w:after="0"/>
        <w:rPr>
          <w:sz w:val="20"/>
          <w:szCs w:val="20"/>
          <w:color w:val="auto"/>
        </w:rPr>
      </w:pPr>
      <w:r>
        <w:rPr>
          <w:rFonts w:ascii="Arial" w:cs="Arial" w:eastAsia="Arial" w:hAnsi="Arial"/>
          <w:sz w:val="16"/>
          <w:szCs w:val="16"/>
          <w:color w:val="auto"/>
        </w:rPr>
        <w:t>Title of each class</w:t>
      </w:r>
    </w:p>
    <w:p>
      <w:pPr>
        <w:spacing w:after="0" w:line="200" w:lineRule="exact"/>
        <w:rPr>
          <w:sz w:val="24"/>
          <w:szCs w:val="24"/>
          <w:color w:val="auto"/>
        </w:rPr>
      </w:pPr>
    </w:p>
    <w:p>
      <w:pPr>
        <w:spacing w:after="0" w:line="278" w:lineRule="exact"/>
        <w:rPr>
          <w:sz w:val="24"/>
          <w:szCs w:val="24"/>
          <w:color w:val="auto"/>
        </w:rPr>
      </w:pPr>
    </w:p>
    <w:p>
      <w:pPr>
        <w:jc w:val="center"/>
        <w:ind w:left="760"/>
        <w:spacing w:after="0"/>
        <w:rPr>
          <w:sz w:val="20"/>
          <w:szCs w:val="20"/>
          <w:color w:val="auto"/>
        </w:rPr>
      </w:pPr>
      <w:r>
        <w:rPr>
          <w:rFonts w:ascii="Arial" w:cs="Arial" w:eastAsia="Arial" w:hAnsi="Arial"/>
          <w:sz w:val="18"/>
          <w:szCs w:val="18"/>
          <w:color w:val="auto"/>
        </w:rPr>
        <w:t>Common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3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229"/>
        </w:trPr>
        <w:tc>
          <w:tcPr>
            <w:tcW w:w="3740" w:type="dxa"/>
            <w:vAlign w:val="bottom"/>
            <w:tcBorders>
              <w:left w:val="single" w:sz="8" w:color="auto"/>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c>
          <w:tcPr>
            <w:tcW w:w="0" w:type="dxa"/>
            <w:vAlign w:val="bottom"/>
          </w:tcPr>
          <w:p>
            <w:pPr>
              <w:spacing w:after="0"/>
              <w:rPr>
                <w:sz w:val="1"/>
                <w:szCs w:val="1"/>
                <w:color w:val="auto"/>
              </w:rPr>
            </w:pPr>
          </w:p>
        </w:tc>
      </w:tr>
      <w:tr>
        <w:trPr>
          <w:trHeight w:val="20"/>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NAII</w:t>
            </w:r>
          </w:p>
        </w:tc>
        <w:tc>
          <w:tcPr>
            <w:tcW w:w="3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line="20" w:lineRule="exact"/>
              <w:rPr>
                <w:sz w:val="1"/>
                <w:szCs w:val="1"/>
                <w:color w:val="auto"/>
              </w:rPr>
            </w:pPr>
          </w:p>
        </w:tc>
      </w:tr>
      <w:tr>
        <w:trPr>
          <w:trHeight w:val="421"/>
        </w:trPr>
        <w:tc>
          <w:tcPr>
            <w:tcW w:w="3740" w:type="dxa"/>
            <w:vAlign w:val="bottom"/>
            <w:tcBorders>
              <w:left w:val="single" w:sz="8" w:color="auto"/>
              <w:right w:val="single" w:sz="8" w:color="auto"/>
            </w:tcBorders>
            <w:vMerge w:val="continue"/>
          </w:tcPr>
          <w:p>
            <w:pPr>
              <w:spacing w:after="0"/>
              <w:rPr>
                <w:sz w:val="24"/>
                <w:szCs w:val="24"/>
                <w:color w:val="auto"/>
              </w:rPr>
            </w:pPr>
          </w:p>
        </w:tc>
        <w:tc>
          <w:tcPr>
            <w:tcW w:w="37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080" w:space="720"/>
            <w:col w:w="7440"/>
          </w:cols>
          <w:pgMar w:left="320" w:top="445" w:right="339" w:bottom="1440" w:gutter="0" w:footer="0" w:header="0"/>
          <w:type w:val="continuous"/>
        </w:sectPr>
      </w:pPr>
    </w:p>
    <w:p>
      <w:pPr>
        <w:spacing w:after="0" w:line="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Under the registrant's Stock Repurchase Program, Natural Alternatives International, Inc. ("NAI") may, from time to time, purchase shares of its common stock, depending upon market conditions, in open market or privately negotiated transactions. The Program is limited to amounts previously approved by the Board of Directors. On March 13, 2020, the NAI Board of Directors authorized an increase in the authorized amount the Company can use to purchase its common shares pursuant to the Stock Repurchase Program by an additional $1 million.</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18, 2020, Natural Alternatives International, Inc., a Delaware corporation (“NAI”), issued a press release announcing its Board of Directors has authorized the repurchase of up to an additional $1 million of its common shares. A copy of the press release is attached hereto as Exhibit 99.1 and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5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EE"/>
          </w:rPr>
          <w:t>Press Release of NAI issued on March 18, 2020.</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Natural Alternatives International, Inc.</w:t>
            </w:r>
          </w:p>
        </w:tc>
      </w:tr>
      <w:tr>
        <w:trPr>
          <w:trHeight w:val="230"/>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864"/>
        </w:trPr>
        <w:tc>
          <w:tcPr>
            <w:tcW w:w="3320" w:type="dxa"/>
            <w:vAlign w:val="bottom"/>
          </w:tcPr>
          <w:p>
            <w:pPr>
              <w:spacing w:after="0"/>
              <w:rPr>
                <w:sz w:val="20"/>
                <w:szCs w:val="20"/>
                <w:color w:val="auto"/>
              </w:rPr>
            </w:pPr>
            <w:r>
              <w:rPr>
                <w:rFonts w:ascii="Arial" w:cs="Arial" w:eastAsia="Arial" w:hAnsi="Arial"/>
                <w:sz w:val="18"/>
                <w:szCs w:val="18"/>
                <w:color w:val="auto"/>
              </w:rPr>
              <w:t>March 20, 2020</w:t>
            </w:r>
          </w:p>
        </w:tc>
        <w:tc>
          <w:tcPr>
            <w:tcW w:w="6560" w:type="dxa"/>
            <w:vAlign w:val="bottom"/>
            <w:gridSpan w:val="2"/>
          </w:tcPr>
          <w:p>
            <w:pPr>
              <w:ind w:left="2300"/>
              <w:spacing w:after="0"/>
              <w:rPr>
                <w:sz w:val="20"/>
                <w:szCs w:val="20"/>
                <w:color w:val="auto"/>
              </w:rPr>
            </w:pPr>
            <w:r>
              <w:rPr>
                <w:rFonts w:ascii="Arial" w:cs="Arial" w:eastAsia="Arial" w:hAnsi="Arial"/>
                <w:sz w:val="18"/>
                <w:szCs w:val="18"/>
                <w:color w:val="auto"/>
              </w:rPr>
              <w:t>By: /s/ Mike Fortin</w:t>
            </w:r>
          </w:p>
        </w:tc>
      </w:tr>
      <w:tr>
        <w:trPr>
          <w:trHeight w:val="224"/>
        </w:trPr>
        <w:tc>
          <w:tcPr>
            <w:tcW w:w="3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Mike Fortin, Chief Financial Officer</w:t>
            </w:r>
          </w:p>
        </w:tc>
      </w:tr>
      <w:tr>
        <w:trPr>
          <w:trHeight w:val="634"/>
        </w:trPr>
        <w:tc>
          <w:tcPr>
            <w:tcW w:w="3320" w:type="dxa"/>
            <w:vAlign w:val="bottom"/>
          </w:tcPr>
          <w:p>
            <w:pPr>
              <w:spacing w:after="0"/>
              <w:rPr>
                <w:sz w:val="24"/>
                <w:szCs w:val="24"/>
                <w:color w:val="auto"/>
              </w:rPr>
            </w:pP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- 2 -</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580"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154305</wp:posOffset>
            </wp:positionV>
            <wp:extent cx="925830" cy="107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Natural Alternatives International, Inc. Announces Increase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its Stock Repurchase Plan</w:t>
      </w:r>
    </w:p>
    <w:p>
      <w:pPr>
        <w:spacing w:after="0" w:line="19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Carlsbad, Calif., </w:t>
      </w:r>
      <w:r>
        <w:rPr>
          <w:rFonts w:ascii="Arial" w:cs="Arial" w:eastAsia="Arial" w:hAnsi="Arial"/>
          <w:sz w:val="18"/>
          <w:szCs w:val="18"/>
          <w:color w:val="auto"/>
        </w:rPr>
        <w:t>March 18, 2020 /PRNewswire/ -- Natural Alternatives International, Inc. ("NAI") (Nasdaq: NAII), a leading formulator, manufacturer</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marketer of customized nutritional supplements, today announced its Board of Directors authorized a $1.0 million increase to its stock repurchase plan bringing the total plan authorized repurchase amount to $10.0 million. Under the repurchase plan, NAI may, from time to time, purchase shares of its common stock, depending upon market conditions, in open market or privately negotiated transactions. Since December 31, 2019, we have purchased an additional 198,336 shares of our common stock under this plan bringing our total plan purchases to date to 1.2 million shares. At present there is $2.0 million remaining available for stock repurchases under the plan.</w:t>
      </w:r>
    </w:p>
    <w:p>
      <w:pPr>
        <w:spacing w:after="0" w:line="19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Mark A. Le Doux, Chairman and Chief Executive Officer of NAI stated, “While we face an unprecedented situation with the global impact of the Covid-19 coronavirus, including an unknown financial impact to our company, we remain committed to buying back shares anytime we believe it is in our stockholders long term best interest, while continuing to be cautious about the unknown impact of the current health crisis."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NAI, headquartered in Carlsbad, California, is a leading formulator, manufacturer and marketer of nutritional supplements and provides strategic partnering services to its customers. Our comprehensive partnership approach offers a wide range of innovative nutritional products and services to our clients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 For more information about NAI, please see our website at http://www.nai-online.com.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This press release contains forward-looking statements within the meaning of Section 21E of the Securities Exchange Act of 1934 that are not historical facts and information. These statements represent our intentions, expectations and beliefs concerning future events, including, among other things, our financial condition, and our ability to acquire our own shares on a reasonable basis, as well as future economic conditions and the impact of Covid-19 and such other conditions on our business. We wish to caution readers these statements involve risks and uncertainties that could cause actual results and outcomes for future periods to differ materially from any forward-looking statement or views expressed herein. NAI's financial performance and the forward-looking statements contained herein are further qualified by other risks including those set forth from time to time in the documents filed by us with the Securities and Exchange Commission, including our most recent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 Michael Fortin, Chief Financial Officer, Natural Alternatives International, Inc., at 760-736-7700 or </w:t>
      </w:r>
      <w:r>
        <w:rPr>
          <w:rFonts w:ascii="Arial" w:cs="Arial" w:eastAsia="Arial" w:hAnsi="Arial"/>
          <w:sz w:val="18"/>
          <w:szCs w:val="18"/>
          <w:u w:val="single" w:color="auto"/>
          <w:color w:val="auto"/>
        </w:rPr>
        <w:t>investor@nai-online.com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w:t>
      </w:r>
      <w:r>
        <w:rPr>
          <w:rFonts w:ascii="Arial" w:cs="Arial" w:eastAsia="Arial" w:hAnsi="Arial"/>
          <w:sz w:val="18"/>
          <w:szCs w:val="18"/>
          <w:u w:val="single" w:color="auto"/>
          <w:color w:val="auto"/>
        </w:rPr>
        <w:t>http://www.nai-online.com/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Natural Alternatives International, Inc.</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2020-03-23T05:09:11Z</dcterms:created>
  <dcterms:modified xsi:type="dcterms:W3CDTF">2020-03-23T05:09:11Z</dcterms:modified>
</cp:coreProperties>
</file>