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207645</wp:posOffset>
            </wp:positionH>
            <wp:positionV relativeFrom="page">
              <wp:posOffset>343535</wp:posOffset>
            </wp:positionV>
            <wp:extent cx="713359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402590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t>UNITED STATES</w:t>
      </w:r>
    </w:p>
    <w:p>
      <w:pPr>
        <w:spacing w:after="0" w:line="5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189865</wp:posOffset>
            </wp:positionV>
            <wp:extent cx="1790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color w:val="auto"/>
        </w:rPr>
        <w:t>FORM S-8</w:t>
      </w:r>
    </w:p>
    <w:p>
      <w:pPr>
        <w:spacing w:after="0" w:line="5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8"/>
          <w:szCs w:val="28"/>
          <w:b w:val="1"/>
          <w:bCs w:val="1"/>
          <w:color w:val="auto"/>
        </w:rPr>
        <w:t>REGISTRATION STATEMENT</w:t>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i w:val="1"/>
          <w:iCs w:val="1"/>
          <w:color w:val="auto"/>
        </w:rPr>
        <w:t>UNDER</w:t>
      </w:r>
    </w:p>
    <w:p>
      <w:pPr>
        <w:jc w:val="center"/>
        <w:ind w:right="-9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171450</wp:posOffset>
            </wp:positionV>
            <wp:extent cx="17900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color w:val="auto"/>
        </w:rPr>
        <w:t>NATURAL ALTERNATIVES INTERNATIONAL, INC.</w:t>
      </w:r>
    </w:p>
    <w:p>
      <w:pPr>
        <w:spacing w:after="0" w:line="5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172720</wp:posOffset>
            </wp:positionV>
            <wp:extent cx="17900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tbl>
      <w:tblPr>
        <w:tblLayout w:type="fixed"/>
        <w:tblInd w:w="1340" w:type="dxa"/>
        <w:tblCellMar>
          <w:top w:w="0" w:type="dxa"/>
          <w:left w:w="0" w:type="dxa"/>
          <w:bottom w:w="0" w:type="dxa"/>
          <w:right w:w="0" w:type="dxa"/>
        </w:tblCellMar>
      </w:tblPr>
      <w:tr>
        <w:trPr>
          <w:trHeight w:val="214"/>
        </w:trPr>
        <w:tc>
          <w:tcPr>
            <w:tcW w:w="4380" w:type="dxa"/>
            <w:vAlign w:val="bottom"/>
          </w:tcPr>
          <w:p>
            <w:pPr>
              <w:jc w:val="center"/>
              <w:ind w:right="133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20" w:type="dxa"/>
            <w:vAlign w:val="bottom"/>
          </w:tcPr>
          <w:p>
            <w:pPr>
              <w:jc w:val="right"/>
              <w:ind w:right="791"/>
              <w:spacing w:after="0"/>
              <w:rPr>
                <w:sz w:val="20"/>
                <w:szCs w:val="20"/>
                <w:color w:val="auto"/>
              </w:rPr>
            </w:pPr>
            <w:r>
              <w:rPr>
                <w:rFonts w:ascii="Times New Roman" w:cs="Times New Roman" w:eastAsia="Times New Roman" w:hAnsi="Times New Roman"/>
                <w:sz w:val="18"/>
                <w:szCs w:val="18"/>
                <w:b w:val="1"/>
                <w:bCs w:val="1"/>
                <w:color w:val="auto"/>
              </w:rPr>
              <w:t>84-1007839</w:t>
            </w:r>
          </w:p>
        </w:tc>
      </w:tr>
      <w:tr>
        <w:trPr>
          <w:trHeight w:val="237"/>
        </w:trPr>
        <w:tc>
          <w:tcPr>
            <w:tcW w:w="4380" w:type="dxa"/>
            <w:vAlign w:val="bottom"/>
          </w:tcPr>
          <w:p>
            <w:pPr>
              <w:jc w:val="center"/>
              <w:ind w:right="1331"/>
              <w:spacing w:after="0"/>
              <w:rPr>
                <w:sz w:val="20"/>
                <w:szCs w:val="20"/>
                <w:color w:val="auto"/>
              </w:rPr>
            </w:pPr>
            <w:r>
              <w:rPr>
                <w:rFonts w:ascii="Times New Roman" w:cs="Times New Roman" w:eastAsia="Times New Roman" w:hAnsi="Times New Roman"/>
                <w:sz w:val="18"/>
                <w:szCs w:val="18"/>
                <w:b w:val="1"/>
                <w:bCs w:val="1"/>
                <w:color w:val="auto"/>
                <w:w w:val="99"/>
              </w:rPr>
              <w:t>(State of incorporation)</w:t>
            </w:r>
          </w:p>
        </w:tc>
        <w:tc>
          <w:tcPr>
            <w:tcW w:w="4020" w:type="dxa"/>
            <w:vAlign w:val="bottom"/>
          </w:tcPr>
          <w:p>
            <w:pPr>
              <w:jc w:val="center"/>
              <w:ind w:left="1331"/>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405"/>
        </w:trPr>
        <w:tc>
          <w:tcPr>
            <w:tcW w:w="4380" w:type="dxa"/>
            <w:vAlign w:val="bottom"/>
          </w:tcPr>
          <w:p>
            <w:pPr>
              <w:jc w:val="center"/>
              <w:ind w:right="1331"/>
              <w:spacing w:after="0"/>
              <w:rPr>
                <w:sz w:val="20"/>
                <w:szCs w:val="20"/>
                <w:color w:val="auto"/>
              </w:rPr>
            </w:pPr>
            <w:r>
              <w:rPr>
                <w:rFonts w:ascii="Times New Roman" w:cs="Times New Roman" w:eastAsia="Times New Roman" w:hAnsi="Times New Roman"/>
                <w:sz w:val="18"/>
                <w:szCs w:val="18"/>
                <w:b w:val="1"/>
                <w:bCs w:val="1"/>
                <w:color w:val="auto"/>
                <w:w w:val="97"/>
              </w:rPr>
              <w:t>1535 Faraday Avenue</w:t>
            </w:r>
          </w:p>
        </w:tc>
        <w:tc>
          <w:tcPr>
            <w:tcW w:w="4020" w:type="dxa"/>
            <w:vAlign w:val="bottom"/>
          </w:tcPr>
          <w:p>
            <w:pPr>
              <w:spacing w:after="0"/>
              <w:rPr>
                <w:sz w:val="24"/>
                <w:szCs w:val="24"/>
                <w:color w:val="auto"/>
              </w:rPr>
            </w:pPr>
          </w:p>
        </w:tc>
      </w:tr>
      <w:tr>
        <w:trPr>
          <w:trHeight w:val="214"/>
        </w:trPr>
        <w:tc>
          <w:tcPr>
            <w:tcW w:w="4380" w:type="dxa"/>
            <w:vAlign w:val="bottom"/>
          </w:tcPr>
          <w:p>
            <w:pPr>
              <w:jc w:val="center"/>
              <w:ind w:right="1331"/>
              <w:spacing w:after="0"/>
              <w:rPr>
                <w:sz w:val="20"/>
                <w:szCs w:val="20"/>
                <w:color w:val="auto"/>
              </w:rPr>
            </w:pPr>
            <w:r>
              <w:rPr>
                <w:rFonts w:ascii="Times New Roman" w:cs="Times New Roman" w:eastAsia="Times New Roman" w:hAnsi="Times New Roman"/>
                <w:sz w:val="18"/>
                <w:szCs w:val="18"/>
                <w:b w:val="1"/>
                <w:bCs w:val="1"/>
                <w:color w:val="auto"/>
                <w:w w:val="99"/>
              </w:rPr>
              <w:t>Carlsbad, California 92008</w:t>
            </w:r>
          </w:p>
        </w:tc>
        <w:tc>
          <w:tcPr>
            <w:tcW w:w="4020" w:type="dxa"/>
            <w:vAlign w:val="bottom"/>
          </w:tcPr>
          <w:p>
            <w:pPr>
              <w:jc w:val="right"/>
              <w:ind w:right="991"/>
              <w:spacing w:after="0"/>
              <w:rPr>
                <w:sz w:val="20"/>
                <w:szCs w:val="20"/>
                <w:color w:val="auto"/>
              </w:rPr>
            </w:pPr>
            <w:r>
              <w:rPr>
                <w:rFonts w:ascii="Times New Roman" w:cs="Times New Roman" w:eastAsia="Times New Roman" w:hAnsi="Times New Roman"/>
                <w:sz w:val="18"/>
                <w:szCs w:val="18"/>
                <w:b w:val="1"/>
                <w:bCs w:val="1"/>
                <w:color w:val="auto"/>
              </w:rPr>
              <w:t>92008</w:t>
            </w:r>
          </w:p>
        </w:tc>
      </w:tr>
      <w:tr>
        <w:trPr>
          <w:trHeight w:val="237"/>
        </w:trPr>
        <w:tc>
          <w:tcPr>
            <w:tcW w:w="4380" w:type="dxa"/>
            <w:vAlign w:val="bottom"/>
          </w:tcPr>
          <w:p>
            <w:pPr>
              <w:jc w:val="center"/>
              <w:ind w:right="1331"/>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4020" w:type="dxa"/>
            <w:vAlign w:val="bottom"/>
          </w:tcPr>
          <w:p>
            <w:pPr>
              <w:jc w:val="center"/>
              <w:ind w:left="1311"/>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40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2020 Omnibus Incentive Plan</w:t>
      </w:r>
    </w:p>
    <w:p>
      <w:pPr>
        <w:spacing w:after="0" w:line="3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19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Kenneth E. Wolf</w:t>
      </w:r>
    </w:p>
    <w:p>
      <w:pPr>
        <w:spacing w:after="0" w:line="3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President</w:t>
      </w:r>
    </w:p>
    <w:p>
      <w:pPr>
        <w:spacing w:after="0" w:line="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Natural Alternatives International, Inc.</w:t>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1535 Faraday Avenue</w:t>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Carlsbad, California 92008</w:t>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(760) 736-7709</w:t>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173355</wp:posOffset>
            </wp:positionV>
            <wp:extent cx="17900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29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22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David A. Fisher</w:t>
      </w:r>
    </w:p>
    <w:p>
      <w:pPr>
        <w:spacing w:after="0" w:line="3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FisherBroyles LLP</w:t>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12636 High Bluff Drive, Suite 400</w:t>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San Diego, CA 92130</w:t>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(858) 509-7419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38100</wp:posOffset>
            </wp:positionV>
            <wp:extent cx="17900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30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w:t>
      </w:r>
    </w:p>
    <w:p>
      <w:pPr>
        <w:sectPr>
          <w:pgSz w:w="11900" w:h="16838" w:orient="portrait"/>
          <w:cols w:equalWidth="0" w:num="1">
            <w:col w:w="11160"/>
          </w:cols>
          <w:pgMar w:left="320" w:top="662" w:right="419" w:bottom="1440" w:gutter="0" w:footer="0" w:header="0"/>
        </w:sectPr>
      </w:pPr>
    </w:p>
    <w:p>
      <w:pPr>
        <w:spacing w:after="0" w:line="191" w:lineRule="exact"/>
        <w:rPr>
          <w:sz w:val="24"/>
          <w:szCs w:val="24"/>
          <w:color w:val="auto"/>
        </w:rPr>
      </w:pPr>
    </w:p>
    <w:p>
      <w:pPr>
        <w:ind w:left="28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79" w:lineRule="exact"/>
        <w:rPr>
          <w:sz w:val="24"/>
          <w:szCs w:val="24"/>
          <w:color w:val="auto"/>
        </w:rPr>
      </w:pPr>
    </w:p>
    <w:p>
      <w:pPr>
        <w:ind w:left="28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ind w:left="84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79" w:lineRule="exact"/>
        <w:rPr>
          <w:sz w:val="24"/>
          <w:szCs w:val="24"/>
          <w:color w:val="auto"/>
        </w:rPr>
      </w:pPr>
    </w:p>
    <w:p>
      <w:pPr>
        <w:ind w:left="80"/>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8000" w:space="720"/>
            <w:col w:w="2440"/>
          </w:cols>
          <w:pgMar w:left="320" w:top="662" w:right="419" w:bottom="1440" w:gutter="0" w:footer="0" w:header="0"/>
          <w:type w:val="continuous"/>
        </w:sectPr>
      </w:pPr>
    </w:p>
    <w:p>
      <w:pPr>
        <w:spacing w:after="0" w:line="12" w:lineRule="exact"/>
        <w:rPr>
          <w:sz w:val="24"/>
          <w:szCs w:val="24"/>
          <w:color w:val="auto"/>
        </w:rPr>
      </w:pPr>
    </w:p>
    <w:p>
      <w:pPr>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151765</wp:posOffset>
            </wp:positionV>
            <wp:extent cx="1790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9006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567055</wp:posOffset>
            </wp:positionV>
            <wp:extent cx="71335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60"/>
          </w:cols>
          <w:pgMar w:left="320" w:top="662" w:right="41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4"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8"/>
          <w:szCs w:val="18"/>
          <w:color w:val="auto"/>
        </w:rPr>
        <w:t>Natural Alternatives International, Inc. (NAI) is filing this registration statement on Form S-8 to register 550,000 shares of NAI’s common stock authorized for issuance under Amendment One to the 2020 Omnibus Incentive Plan.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4" w:lineRule="exact"/>
        <w:rPr>
          <w:sz w:val="20"/>
          <w:szCs w:val="20"/>
          <w:color w:val="auto"/>
        </w:rPr>
      </w:pPr>
    </w:p>
    <w:p>
      <w:pPr>
        <w:ind w:right="380"/>
        <w:spacing w:after="0" w:line="257" w:lineRule="auto"/>
        <w:rPr>
          <w:sz w:val="20"/>
          <w:szCs w:val="20"/>
          <w:color w:val="auto"/>
        </w:rPr>
      </w:pPr>
      <w:r>
        <w:rPr>
          <w:rFonts w:ascii="Times New Roman" w:cs="Times New Roman" w:eastAsia="Times New Roman" w:hAnsi="Times New Roman"/>
          <w:sz w:val="18"/>
          <w:szCs w:val="18"/>
          <w:color w:val="auto"/>
        </w:rPr>
        <w:t>As permitted by the rules of the SEC, this registration statement omits the information specified in Part I of Form S-8. The documents containing the information specified in Part I will be delivered to the participants in the plan covered by this registration statement as required by Rule 428(b)(1) promulgated under the 1933 Act. Such documents are not being filed with the SEC as part of this registration statement or as prospectuses or prospectus supplements pursuant to Rule 424 of the 1933 Act.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NAI incorporates by reference into this registration statement the documents listed below, which NAI has already filed with the SEC:</w:t>
      </w:r>
    </w:p>
    <w:p>
      <w:pPr>
        <w:spacing w:after="0" w:line="220" w:lineRule="exact"/>
        <w:rPr>
          <w:sz w:val="20"/>
          <w:szCs w:val="20"/>
          <w:color w:val="auto"/>
        </w:rPr>
      </w:pPr>
    </w:p>
    <w:p>
      <w:pPr>
        <w:ind w:left="320" w:right="20" w:hanging="313"/>
        <w:spacing w:after="0" w:line="262" w:lineRule="auto"/>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NAI’s Annual Report on </w:t>
      </w:r>
      <w:hyperlink r:id="rId17">
        <w:r>
          <w:rPr>
            <w:rFonts w:ascii="Times New Roman" w:cs="Times New Roman" w:eastAsia="Times New Roman" w:hAnsi="Times New Roman"/>
            <w:sz w:val="18"/>
            <w:szCs w:val="18"/>
            <w:u w:val="single" w:color="auto"/>
            <w:color w:val="0000EE"/>
          </w:rPr>
          <w:t>Form 10-K for the fiscal year ended June 30, 2025 filed with the SEC on September 23, 2025</w:t>
        </w:r>
      </w:hyperlink>
      <w:r>
        <w:rPr>
          <w:rFonts w:ascii="Times New Roman" w:cs="Times New Roman" w:eastAsia="Times New Roman" w:hAnsi="Times New Roman"/>
          <w:sz w:val="18"/>
          <w:szCs w:val="18"/>
          <w:color w:val="auto"/>
        </w:rPr>
        <w:t xml:space="preserve">, (which incorporates by reference certain portions of NAI’s </w:t>
      </w:r>
      <w:hyperlink r:id="rId18">
        <w:r>
          <w:rPr>
            <w:rFonts w:ascii="Times New Roman" w:cs="Times New Roman" w:eastAsia="Times New Roman" w:hAnsi="Times New Roman"/>
            <w:sz w:val="18"/>
            <w:szCs w:val="18"/>
            <w:u w:val="single" w:color="auto"/>
            <w:color w:val="0000EE"/>
          </w:rPr>
          <w:t>Proxy Statement filed with the SEC on October 23,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its Annual Meeting of Stockholders held on December 5, 2025), which contains audited consolidated financial statements for the most recent fiscal year for which such statements have been filed;</w:t>
      </w:r>
    </w:p>
    <w:p>
      <w:pPr>
        <w:spacing w:after="0" w:line="177" w:lineRule="exact"/>
        <w:rPr>
          <w:rFonts w:ascii="Times New Roman" w:cs="Times New Roman" w:eastAsia="Times New Roman" w:hAnsi="Times New Roman"/>
          <w:sz w:val="18"/>
          <w:szCs w:val="18"/>
          <w:color w:val="auto"/>
        </w:rPr>
      </w:pPr>
    </w:p>
    <w:p>
      <w:pPr>
        <w:ind w:left="320" w:right="380" w:hanging="313"/>
        <w:spacing w:after="0" w:line="277" w:lineRule="auto"/>
        <w:tabs>
          <w:tab w:leader="none" w:pos="320"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NAI’s Quarterly Reports on Form 10-Q for the quarters ended September 30, 2025, December 31, 2025, and March 31, 2026, filed with the SEC on </w:t>
      </w:r>
      <w:hyperlink r:id="rId19">
        <w:r>
          <w:rPr>
            <w:rFonts w:ascii="Times New Roman" w:cs="Times New Roman" w:eastAsia="Times New Roman" w:hAnsi="Times New Roman"/>
            <w:sz w:val="18"/>
            <w:szCs w:val="18"/>
            <w:u w:val="single" w:color="auto"/>
            <w:color w:val="0000EE"/>
          </w:rPr>
          <w:t>November 12,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0">
        <w:r>
          <w:rPr>
            <w:rFonts w:ascii="Times New Roman" w:cs="Times New Roman" w:eastAsia="Times New Roman" w:hAnsi="Times New Roman"/>
            <w:sz w:val="18"/>
            <w:szCs w:val="18"/>
            <w:u w:val="single" w:color="auto"/>
            <w:color w:val="0000EE"/>
          </w:rPr>
          <w:t>February 13,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21">
        <w:r>
          <w:rPr>
            <w:rFonts w:ascii="Times New Roman" w:cs="Times New Roman" w:eastAsia="Times New Roman" w:hAnsi="Times New Roman"/>
            <w:sz w:val="18"/>
            <w:szCs w:val="18"/>
            <w:u w:val="single" w:color="auto"/>
            <w:color w:val="0000EE"/>
          </w:rPr>
          <w:t xml:space="preserve">May 19, 2026 </w:t>
        </w:r>
      </w:hyperlink>
      <w:r>
        <w:rPr>
          <w:rFonts w:ascii="Times New Roman" w:cs="Times New Roman" w:eastAsia="Times New Roman" w:hAnsi="Times New Roman"/>
          <w:sz w:val="18"/>
          <w:szCs w:val="18"/>
          <w:color w:val="000000"/>
        </w:rPr>
        <w:t>respectively;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163" w:lineRule="exact"/>
        <w:rPr>
          <w:rFonts w:ascii="Times New Roman" w:cs="Times New Roman" w:eastAsia="Times New Roman" w:hAnsi="Times New Roman"/>
          <w:sz w:val="18"/>
          <w:szCs w:val="18"/>
          <w:color w:val="0000EE"/>
        </w:rPr>
      </w:pPr>
    </w:p>
    <w:p>
      <w:pPr>
        <w:ind w:left="320" w:right="220" w:hanging="313"/>
        <w:spacing w:after="0" w:line="277" w:lineRule="auto"/>
        <w:tabs>
          <w:tab w:leader="none" w:pos="320"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NAI’s Current Reports on Form 8-K filed with the SEC on </w:t>
      </w:r>
      <w:hyperlink r:id="rId22">
        <w:r>
          <w:rPr>
            <w:rFonts w:ascii="Times New Roman" w:cs="Times New Roman" w:eastAsia="Times New Roman" w:hAnsi="Times New Roman"/>
            <w:sz w:val="18"/>
            <w:szCs w:val="18"/>
            <w:u w:val="single" w:color="auto"/>
            <w:color w:val="0000EE"/>
          </w:rPr>
          <w:t>July 1, 2025</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EE"/>
          </w:rPr>
          <w:t>July 21, 2025</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December 12, 2025</w:t>
        </w:r>
      </w:hyperlink>
      <w:r>
        <w:rPr>
          <w:rFonts w:ascii="Times New Roman" w:cs="Times New Roman" w:eastAsia="Times New Roman" w:hAnsi="Times New Roman"/>
          <w:sz w:val="18"/>
          <w:szCs w:val="18"/>
          <w:color w:val="auto"/>
        </w:rPr>
        <w:t xml:space="preserve">, </w:t>
      </w:r>
      <w:hyperlink r:id="rId25">
        <w:r>
          <w:rPr>
            <w:rFonts w:ascii="Times New Roman" w:cs="Times New Roman" w:eastAsia="Times New Roman" w:hAnsi="Times New Roman"/>
            <w:sz w:val="18"/>
            <w:szCs w:val="18"/>
            <w:u w:val="single" w:color="auto"/>
            <w:color w:val="0000EE"/>
          </w:rPr>
          <w:t>December 17, 2025</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EE"/>
          </w:rPr>
          <w:t>March 20, 2026</w:t>
        </w:r>
      </w:hyperlink>
      <w:r>
        <w:rPr>
          <w:rFonts w:ascii="Times New Roman" w:cs="Times New Roman" w:eastAsia="Times New Roman" w:hAnsi="Times New Roman"/>
          <w:sz w:val="18"/>
          <w:szCs w:val="18"/>
          <w:color w:val="auto"/>
        </w:rPr>
        <w:t xml:space="preserve">, and </w:t>
      </w:r>
      <w:hyperlink r:id="rId27">
        <w:r>
          <w:rPr>
            <w:rFonts w:ascii="Times New Roman" w:cs="Times New Roman" w:eastAsia="Times New Roman" w:hAnsi="Times New Roman"/>
            <w:sz w:val="18"/>
            <w:szCs w:val="18"/>
            <w:u w:val="single" w:color="auto"/>
            <w:color w:val="0000EE"/>
          </w:rPr>
          <w:t>May 1,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only to the extent filed and not furnished; and</w:t>
      </w:r>
    </w:p>
    <w:p>
      <w:pPr>
        <w:spacing w:after="0" w:line="163" w:lineRule="exact"/>
        <w:rPr>
          <w:rFonts w:ascii="Times New Roman" w:cs="Times New Roman" w:eastAsia="Times New Roman" w:hAnsi="Times New Roman"/>
          <w:sz w:val="18"/>
          <w:szCs w:val="18"/>
          <w:color w:val="0000EE"/>
        </w:rPr>
      </w:pPr>
    </w:p>
    <w:p>
      <w:pPr>
        <w:ind w:left="320" w:right="240" w:hanging="313"/>
        <w:spacing w:after="0" w:line="277" w:lineRule="auto"/>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NAI’s common stock contained in NAI’s registration statement on Form S-1, filed with the SEC on March 31, 1994 (SEC File No. 33-44292), including all amendments or reports filed for the purpose of updating such description.</w:t>
      </w:r>
    </w:p>
    <w:p>
      <w:pPr>
        <w:spacing w:after="0" w:line="163" w:lineRule="exact"/>
        <w:rPr>
          <w:rFonts w:ascii="Times New Roman" w:cs="Times New Roman" w:eastAsia="Times New Roman" w:hAnsi="Times New Roman"/>
          <w:sz w:val="18"/>
          <w:szCs w:val="18"/>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Any other documents subsequently filed by NAI under Sections 13(a), 13(c), 14 and 15(d) of the Securities Exchange Act of 1934, as amended (Exchange Act), excluding any information in those documents that is deemed by the rules of the SEC to be furnished but not filed, before the filing of a post-effective amendment that indicates all securities offered herein have been sold or that deregisters all securities covered by this registration statement then remaining unsold, shall be deemed to be incorporated by reference in this registration statement and to be part of this registration statement from the date of filing of such documents.</w:t>
      </w:r>
    </w:p>
    <w:p>
      <w:pPr>
        <w:spacing w:after="0" w:line="183" w:lineRule="exact"/>
        <w:rPr>
          <w:rFonts w:ascii="Times New Roman" w:cs="Times New Roman" w:eastAsia="Times New Roman" w:hAnsi="Times New Roman"/>
          <w:sz w:val="18"/>
          <w:szCs w:val="18"/>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Any statement in a document incorporated or deemed to be incorporated by reference herein shall be deemed to be modified or superseded for the purposes of this registration statement to the extent that a statement contained herein or in any other subsequently filed document that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78" w:lineRule="exact"/>
        <w:rPr>
          <w:rFonts w:ascii="Times New Roman" w:cs="Times New Roman" w:eastAsia="Times New Roman" w:hAnsi="Times New Roman"/>
          <w:sz w:val="18"/>
          <w:szCs w:val="18"/>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Description of Securities</w:t>
      </w:r>
    </w:p>
    <w:p>
      <w:pPr>
        <w:spacing w:after="0" w:line="224" w:lineRule="exact"/>
        <w:rPr>
          <w:rFonts w:ascii="Times New Roman" w:cs="Times New Roman" w:eastAsia="Times New Roman" w:hAnsi="Times New Roman"/>
          <w:sz w:val="18"/>
          <w:szCs w:val="18"/>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rFonts w:ascii="Times New Roman" w:cs="Times New Roman" w:eastAsia="Times New Roman" w:hAnsi="Times New Roman"/>
          <w:sz w:val="18"/>
          <w:szCs w:val="18"/>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Interests of Named Experts and Counsel</w:t>
      </w:r>
    </w:p>
    <w:p>
      <w:pPr>
        <w:spacing w:after="0" w:line="224" w:lineRule="exact"/>
        <w:rPr>
          <w:rFonts w:ascii="Times New Roman" w:cs="Times New Roman" w:eastAsia="Times New Roman" w:hAnsi="Times New Roman"/>
          <w:sz w:val="18"/>
          <w:szCs w:val="18"/>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rFonts w:ascii="Times New Roman" w:cs="Times New Roman" w:eastAsia="Times New Roman" w:hAnsi="Times New Roman"/>
          <w:sz w:val="18"/>
          <w:szCs w:val="18"/>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224" w:lineRule="exact"/>
        <w:rPr>
          <w:rFonts w:ascii="Times New Roman" w:cs="Times New Roman" w:eastAsia="Times New Roman" w:hAnsi="Times New Roman"/>
          <w:sz w:val="18"/>
          <w:szCs w:val="18"/>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NAI’s charter provides that it may indemnify, to the full extent authorized or permitted by law, any person made, or threatened to be made, a defendant or witness to any action, suit or proceeding (whether civil or criminal or otherwise) by reason of the fact that he, his testator or intestate, is or was a director or officer of NAI or by reason of the fact that such director of officer, at the request of NAI, is or was serving any other corporation, partnership, joint venture, employee benefit plan or other enterprise, in any capacity.</w:t>
      </w:r>
    </w:p>
    <w:p>
      <w:pPr>
        <w:spacing w:after="0" w:line="182" w:lineRule="exact"/>
        <w:rPr>
          <w:rFonts w:ascii="Times New Roman" w:cs="Times New Roman" w:eastAsia="Times New Roman" w:hAnsi="Times New Roman"/>
          <w:sz w:val="18"/>
          <w:szCs w:val="18"/>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Under Delaware law, a director or officer who has been successful on the merits or otherwise in defense of any action, suit or proceeding or in defense of any claim, issue or matter therein shall be indemnified against expenses (including attorneys’ fees) actually and reasonably incurred. In other circumstances, a director, officer, employee, or agent of NAI may be indemnified against expenses (including attorneys’ fees), judgments, fines, and amounts paid in settlement actually and reasonably incurred if he acted in good faith and in a manner, he reasonably believed to be in or not opposed to the best interest of NAI.</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4445</wp:posOffset>
            </wp:positionH>
            <wp:positionV relativeFrom="paragraph">
              <wp:posOffset>347980</wp:posOffset>
            </wp:positionV>
            <wp:extent cx="71335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 w:name="page3"/>
    <w:bookmarkEnd w:id="2"/>
    <w:p>
      <w:pPr>
        <w:ind w:right="260"/>
        <w:spacing w:after="0" w:line="257" w:lineRule="auto"/>
        <w:rPr>
          <w:sz w:val="20"/>
          <w:szCs w:val="20"/>
          <w:color w:val="auto"/>
        </w:rPr>
      </w:pPr>
      <w:r>
        <w:rPr>
          <w:rFonts w:ascii="Times New Roman" w:cs="Times New Roman" w:eastAsia="Times New Roman" w:hAnsi="Times New Roman"/>
          <w:sz w:val="18"/>
          <w:szCs w:val="18"/>
          <w:color w:val="auto"/>
        </w:rPr>
        <w:t>The bylaws of NAI provide that costs and expenses (including attorneys’ fees) incurred by or on behalf of a director, officer, employee or agent of NAI in defending or investigating any action, suit, proceeding or investigation shall be paid by NAI in advance of the final disposition of such matter, if such director, officer, employee or agent undertakes in writing to repay any such advances if it is ultimately determined that he or she was not entitled to indemnification.</w:t>
      </w:r>
    </w:p>
    <w:p>
      <w:pPr>
        <w:spacing w:after="0" w:line="18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NAI’s charter further provides that NAI may buy and maintain insurance on behalf of any person who is or was a director, officer, employee or agent of NAI, or is serving at the request of NAI as a director, officer, employee or agent of any corporation, partnership, joint venture, trust, employee benefit plan or other enterprise against any liability asserted against him and incurred by him in any such capacity, or arising out of his status as such, whether or not NAI would have the power to indemnify him against such liability under the provisions of the law. NAI has in effect a directors and officers liability insurance policy protecting its directors and officers against liability by reason of their being or having been directors or officers of NAI.</w:t>
      </w:r>
    </w:p>
    <w:p>
      <w:pPr>
        <w:spacing w:after="0" w:line="18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Under the terms of NAI’s charter, no director of NAI shall be personally liable to NAI or its stockholders for monetary damages for any breach of fiduciary duty by such a director as a director. Notwithstanding the foregoing, a director shall be liable to the extent provided by applicable law (i) for any breach of the director’s duty of loyalty to NAI or its stockholders, (ii) for acts or omissions not in good faith or which involve intentional misconduct or a knowing violation of law, (iii) for any unlawful payment of dividends or unlawful stock purchase or redemption, or (iv) for any transaction from which such director derived an improper personal benefit.</w:t>
      </w:r>
    </w:p>
    <w:p>
      <w:pPr>
        <w:spacing w:after="0" w:line="183"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color w:val="auto"/>
        </w:rPr>
        <w:t>NAI has entered into indemnification agreements with each of its directors and anticipates that it will enter into similar arrangements with any future directors. NAI may also enter into similar arrangements with certain of its officers who are not also directors. Generally, the indemnification agreements attempt to provide the maximum protection permitted by Delaware law with respect to indemnification of directors.</w:t>
      </w:r>
    </w:p>
    <w:p>
      <w:pPr>
        <w:spacing w:after="0" w:line="17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index shows those exhibits filed with this registration statement and those incorporated by reference:</w:t>
      </w:r>
    </w:p>
    <w:p>
      <w:pPr>
        <w:spacing w:after="0" w:line="216" w:lineRule="exact"/>
        <w:rPr>
          <w:sz w:val="20"/>
          <w:szCs w:val="20"/>
          <w:color w:val="auto"/>
        </w:rPr>
      </w:pPr>
    </w:p>
    <w:tbl>
      <w:tblPr>
        <w:tblLayout w:type="fixed"/>
        <w:tblInd w:w="260" w:type="dxa"/>
        <w:tblCellMar>
          <w:top w:w="0" w:type="dxa"/>
          <w:left w:w="0" w:type="dxa"/>
          <w:bottom w:w="0" w:type="dxa"/>
          <w:right w:w="0" w:type="dxa"/>
        </w:tblCellMar>
      </w:tblPr>
      <w:tr>
        <w:trPr>
          <w:trHeight w:val="237"/>
        </w:trPr>
        <w:tc>
          <w:tcPr>
            <w:tcW w:w="6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4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5"/>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3040" w:type="dxa"/>
            <w:vAlign w:val="bottom"/>
            <w:gridSpan w:val="2"/>
          </w:tcPr>
          <w:p>
            <w:pPr>
              <w:ind w:left="2160"/>
              <w:spacing w:after="0" w:line="196" w:lineRule="exact"/>
              <w:rPr>
                <w:sz w:val="20"/>
                <w:szCs w:val="20"/>
                <w:color w:val="auto"/>
              </w:rPr>
            </w:pPr>
            <w:r>
              <w:rPr>
                <w:rFonts w:ascii="Times New Roman" w:cs="Times New Roman" w:eastAsia="Times New Roman" w:hAnsi="Times New Roman"/>
                <w:sz w:val="18"/>
                <w:szCs w:val="18"/>
                <w:b w:val="1"/>
                <w:bCs w:val="1"/>
                <w:color w:val="auto"/>
                <w:w w:val="96"/>
              </w:rPr>
              <w:t>Description</w:t>
            </w:r>
          </w:p>
        </w:tc>
        <w:tc>
          <w:tcPr>
            <w:tcW w:w="3740" w:type="dxa"/>
            <w:vAlign w:val="bottom"/>
          </w:tcPr>
          <w:p>
            <w:pPr>
              <w:spacing w:after="0"/>
              <w:rPr>
                <w:sz w:val="17"/>
                <w:szCs w:val="17"/>
                <w:color w:val="auto"/>
              </w:rPr>
            </w:pPr>
          </w:p>
        </w:tc>
        <w:tc>
          <w:tcPr>
            <w:tcW w:w="23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7"/>
              </w:rPr>
              <w:t>Incorporated By Reference To</w:t>
            </w:r>
          </w:p>
        </w:tc>
      </w:tr>
      <w:tr>
        <w:trPr>
          <w:trHeight w:val="20"/>
        </w:trPr>
        <w:tc>
          <w:tcPr>
            <w:tcW w:w="6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575" w:right="359" w:bottom="1440" w:gutter="0" w:footer="0" w:header="0"/>
        </w:sectPr>
      </w:pPr>
    </w:p>
    <w:p>
      <w:pPr>
        <w:spacing w:after="0" w:line="22" w:lineRule="exact"/>
        <w:rPr>
          <w:sz w:val="20"/>
          <w:szCs w:val="20"/>
          <w:color w:val="auto"/>
        </w:rPr>
      </w:pPr>
    </w:p>
    <w:p>
      <w:pPr>
        <w:ind w:left="1140" w:right="20" w:hanging="678"/>
        <w:spacing w:after="0" w:line="262" w:lineRule="auto"/>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29">
        <w:r>
          <w:rPr>
            <w:rFonts w:ascii="Times New Roman" w:cs="Times New Roman" w:eastAsia="Times New Roman" w:hAnsi="Times New Roman"/>
            <w:sz w:val="18"/>
            <w:szCs w:val="18"/>
            <w:u w:val="single" w:color="auto"/>
            <w:color w:val="0000EE"/>
          </w:rPr>
          <w:t>Amended and Restated Certificate of Incorporation of Natural</w:t>
        </w:r>
      </w:hyperlink>
      <w:r>
        <w:rPr>
          <w:rFonts w:ascii="Times New Roman" w:cs="Times New Roman" w:eastAsia="Times New Roman" w:hAnsi="Times New Roman"/>
          <w:sz w:val="18"/>
          <w:szCs w:val="18"/>
          <w:u w:val="single" w:color="auto"/>
          <w:color w:val="0000EE"/>
        </w:rPr>
        <w:t xml:space="preserve"> </w:t>
      </w:r>
      <w:hyperlink r:id="rId29">
        <w:r>
          <w:rPr>
            <w:rFonts w:ascii="Times New Roman" w:cs="Times New Roman" w:eastAsia="Times New Roman" w:hAnsi="Times New Roman"/>
            <w:sz w:val="18"/>
            <w:szCs w:val="18"/>
            <w:u w:val="single" w:color="auto"/>
            <w:color w:val="0000EE"/>
          </w:rPr>
          <w:t>Alternatives International, Inc. filed with the Delaware Secretary</w:t>
        </w:r>
      </w:hyperlink>
      <w:r>
        <w:rPr>
          <w:rFonts w:ascii="Times New Roman" w:cs="Times New Roman" w:eastAsia="Times New Roman" w:hAnsi="Times New Roman"/>
          <w:sz w:val="18"/>
          <w:szCs w:val="18"/>
          <w:u w:val="single" w:color="auto"/>
          <w:color w:val="0000EE"/>
        </w:rPr>
        <w:t xml:space="preserve"> </w:t>
      </w:r>
      <w:hyperlink r:id="rId29">
        <w:r>
          <w:rPr>
            <w:rFonts w:ascii="Times New Roman" w:cs="Times New Roman" w:eastAsia="Times New Roman" w:hAnsi="Times New Roman"/>
            <w:sz w:val="18"/>
            <w:szCs w:val="18"/>
            <w:u w:val="single" w:color="auto"/>
            <w:color w:val="0000EE"/>
          </w:rPr>
          <w:t>of State on January 14, 2005</w:t>
        </w:r>
      </w:hyperlink>
    </w:p>
    <w:p>
      <w:pPr>
        <w:spacing w:after="0" w:line="177" w:lineRule="exact"/>
        <w:rPr>
          <w:rFonts w:ascii="Times New Roman" w:cs="Times New Roman" w:eastAsia="Times New Roman" w:hAnsi="Times New Roman"/>
          <w:sz w:val="18"/>
          <w:szCs w:val="18"/>
          <w:u w:val="single" w:color="auto"/>
          <w:color w:val="0000EE"/>
        </w:rPr>
      </w:pPr>
    </w:p>
    <w:p>
      <w:pPr>
        <w:jc w:val="center"/>
        <w:ind w:right="200"/>
        <w:spacing w:after="0"/>
        <w:tabs>
          <w:tab w:leader="none" w:pos="4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30">
        <w:r>
          <w:rPr>
            <w:rFonts w:ascii="Times New Roman" w:cs="Times New Roman" w:eastAsia="Times New Roman" w:hAnsi="Times New Roman"/>
            <w:sz w:val="17"/>
            <w:szCs w:val="17"/>
            <w:u w:val="single" w:color="auto"/>
            <w:color w:val="0000EE"/>
          </w:rPr>
          <w:t>Amended and Restated By-laws of Natural Alternatives</w:t>
        </w:r>
      </w:hyperlink>
    </w:p>
    <w:p>
      <w:pPr>
        <w:spacing w:after="0" w:line="26" w:lineRule="exact"/>
        <w:rPr>
          <w:rFonts w:ascii="Times New Roman" w:cs="Times New Roman" w:eastAsia="Times New Roman" w:hAnsi="Times New Roman"/>
          <w:sz w:val="18"/>
          <w:szCs w:val="18"/>
          <w:u w:val="single" w:color="auto"/>
          <w:color w:val="0000EE"/>
        </w:rPr>
      </w:pPr>
    </w:p>
    <w:p>
      <w:pPr>
        <w:jc w:val="center"/>
        <w:ind w:right="140"/>
        <w:spacing w:after="0"/>
        <w:rPr>
          <w:rFonts w:ascii="Times New Roman" w:cs="Times New Roman" w:eastAsia="Times New Roman" w:hAnsi="Times New Roman"/>
          <w:sz w:val="18"/>
          <w:szCs w:val="18"/>
          <w:u w:val="single" w:color="auto"/>
          <w:color w:val="0000EE"/>
        </w:rPr>
      </w:pPr>
      <w:hyperlink r:id="rId30">
        <w:r>
          <w:rPr>
            <w:rFonts w:ascii="Times New Roman" w:cs="Times New Roman" w:eastAsia="Times New Roman" w:hAnsi="Times New Roman"/>
            <w:sz w:val="18"/>
            <w:szCs w:val="18"/>
            <w:u w:val="single" w:color="auto"/>
            <w:color w:val="0000EE"/>
          </w:rPr>
          <w:t>International, Inc. dated as of February 9, 2009</w:t>
        </w:r>
      </w:hyperlink>
    </w:p>
    <w:p>
      <w:pPr>
        <w:spacing w:after="0" w:line="202" w:lineRule="exact"/>
        <w:rPr>
          <w:rFonts w:ascii="Times New Roman" w:cs="Times New Roman" w:eastAsia="Times New Roman" w:hAnsi="Times New Roman"/>
          <w:sz w:val="18"/>
          <w:szCs w:val="18"/>
          <w:u w:val="single" w:color="auto"/>
          <w:color w:val="0000EE"/>
        </w:rPr>
      </w:pPr>
    </w:p>
    <w:p>
      <w:pPr>
        <w:ind w:left="460"/>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31">
        <w:r>
          <w:rPr>
            <w:rFonts w:ascii="Times New Roman" w:cs="Times New Roman" w:eastAsia="Times New Roman" w:hAnsi="Times New Roman"/>
            <w:sz w:val="17"/>
            <w:szCs w:val="17"/>
            <w:u w:val="single" w:color="auto"/>
            <w:color w:val="0000EE"/>
          </w:rPr>
          <w:t>Form of NAI’s Common Stock Certificate</w:t>
        </w:r>
      </w:hyperlink>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48" w:lineRule="exact"/>
        <w:rPr>
          <w:rFonts w:ascii="Times New Roman" w:cs="Times New Roman" w:eastAsia="Times New Roman" w:hAnsi="Times New Roman"/>
          <w:sz w:val="18"/>
          <w:szCs w:val="18"/>
          <w:u w:val="single" w:color="auto"/>
          <w:color w:val="0000EE"/>
        </w:rPr>
      </w:pPr>
    </w:p>
    <w:p>
      <w:pPr>
        <w:ind w:left="420"/>
        <w:spacing w:after="0"/>
        <w:tabs>
          <w:tab w:leader="none" w:pos="1120" w:val="left"/>
        </w:tabs>
        <w:rPr>
          <w:sz w:val="20"/>
          <w:szCs w:val="20"/>
          <w:color w:val="auto"/>
        </w:rPr>
      </w:pPr>
      <w:r>
        <w:rPr>
          <w:rFonts w:ascii="Times New Roman" w:cs="Times New Roman" w:eastAsia="Times New Roman" w:hAnsi="Times New Roman"/>
          <w:sz w:val="18"/>
          <w:szCs w:val="18"/>
          <w:color w:val="auto"/>
        </w:rPr>
        <w:t>5.01</w:t>
      </w:r>
      <w:r>
        <w:rPr>
          <w:sz w:val="20"/>
          <w:szCs w:val="20"/>
          <w:color w:val="auto"/>
        </w:rPr>
        <w:tab/>
      </w:r>
      <w:r>
        <w:rPr>
          <w:rFonts w:ascii="Times New Roman" w:cs="Times New Roman" w:eastAsia="Times New Roman" w:hAnsi="Times New Roman"/>
          <w:sz w:val="17"/>
          <w:szCs w:val="17"/>
          <w:u w:val="single" w:color="auto"/>
          <w:color w:val="0000EE"/>
        </w:rPr>
        <w:t>Opinion of FisherBroyles LLP</w:t>
      </w:r>
    </w:p>
    <w:p>
      <w:pPr>
        <w:spacing w:after="0" w:line="220" w:lineRule="exact"/>
        <w:rPr>
          <w:rFonts w:ascii="Times New Roman" w:cs="Times New Roman" w:eastAsia="Times New Roman" w:hAnsi="Times New Roman"/>
          <w:sz w:val="18"/>
          <w:szCs w:val="18"/>
          <w:u w:val="single" w:color="auto"/>
          <w:color w:val="0000EE"/>
        </w:rPr>
      </w:pPr>
    </w:p>
    <w:p>
      <w:pPr>
        <w:ind w:left="420"/>
        <w:spacing w:after="0"/>
        <w:tabs>
          <w:tab w:leader="none" w:pos="112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Haskell &amp; White LLP</w:t>
      </w:r>
    </w:p>
    <w:p>
      <w:pPr>
        <w:spacing w:after="0" w:line="220" w:lineRule="exact"/>
        <w:rPr>
          <w:rFonts w:ascii="Times New Roman" w:cs="Times New Roman" w:eastAsia="Times New Roman" w:hAnsi="Times New Roman"/>
          <w:sz w:val="18"/>
          <w:szCs w:val="18"/>
          <w:u w:val="single" w:color="auto"/>
          <w:color w:val="0000EE"/>
        </w:rPr>
      </w:pPr>
    </w:p>
    <w:p>
      <w:pPr>
        <w:ind w:left="420"/>
        <w:spacing w:after="0"/>
        <w:tabs>
          <w:tab w:leader="none" w:pos="112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FisherBroyles LLP</w:t>
      </w:r>
    </w:p>
    <w:p>
      <w:pPr>
        <w:spacing w:after="0" w:line="220" w:lineRule="exact"/>
        <w:rPr>
          <w:rFonts w:ascii="Times New Roman" w:cs="Times New Roman" w:eastAsia="Times New Roman" w:hAnsi="Times New Roman"/>
          <w:sz w:val="18"/>
          <w:szCs w:val="18"/>
          <w:u w:val="single" w:color="auto"/>
          <w:color w:val="0000EE"/>
        </w:rPr>
      </w:pPr>
    </w:p>
    <w:p>
      <w:pPr>
        <w:ind w:left="1140" w:hanging="723"/>
        <w:spacing w:after="0" w:line="277" w:lineRule="auto"/>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r:id="rId32">
        <w:r>
          <w:rPr>
            <w:rFonts w:ascii="Times New Roman" w:cs="Times New Roman" w:eastAsia="Times New Roman" w:hAnsi="Times New Roman"/>
            <w:sz w:val="18"/>
            <w:szCs w:val="18"/>
            <w:u w:val="single" w:color="auto"/>
            <w:color w:val="0000EE"/>
          </w:rPr>
          <w:t>Amendment One to the 2020 Omnibus Incentive Plan as adopted</w:t>
        </w:r>
      </w:hyperlink>
      <w:r>
        <w:rPr>
          <w:rFonts w:ascii="Times New Roman" w:cs="Times New Roman" w:eastAsia="Times New Roman" w:hAnsi="Times New Roman"/>
          <w:sz w:val="18"/>
          <w:szCs w:val="18"/>
          <w:u w:val="single" w:color="auto"/>
          <w:color w:val="0000EE"/>
        </w:rPr>
        <w:t xml:space="preserve"> </w:t>
      </w:r>
      <w:hyperlink r:id="rId32">
        <w:r>
          <w:rPr>
            <w:rFonts w:ascii="Times New Roman" w:cs="Times New Roman" w:eastAsia="Times New Roman" w:hAnsi="Times New Roman"/>
            <w:sz w:val="18"/>
            <w:szCs w:val="18"/>
            <w:u w:val="single" w:color="auto"/>
            <w:color w:val="0000EE"/>
          </w:rPr>
          <w:t>effective January 1, 2026</w:t>
        </w:r>
      </w:hyperlink>
    </w:p>
    <w:p>
      <w:pPr>
        <w:spacing w:after="0" w:line="163" w:lineRule="exact"/>
        <w:rPr>
          <w:sz w:val="20"/>
          <w:szCs w:val="20"/>
          <w:color w:val="auto"/>
        </w:rPr>
      </w:pPr>
    </w:p>
    <w:p>
      <w:pPr>
        <w:ind w:left="1140" w:hanging="699"/>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372110</wp:posOffset>
            </wp:positionV>
            <wp:extent cx="71335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460"/>
        <w:spacing w:after="0" w:line="262" w:lineRule="auto"/>
        <w:rPr>
          <w:sz w:val="20"/>
          <w:szCs w:val="20"/>
          <w:color w:val="auto"/>
        </w:rPr>
      </w:pPr>
      <w:r>
        <w:rPr>
          <w:rFonts w:ascii="Times New Roman" w:cs="Times New Roman" w:eastAsia="Times New Roman" w:hAnsi="Times New Roman"/>
          <w:sz w:val="18"/>
          <w:szCs w:val="18"/>
          <w:color w:val="auto"/>
        </w:rPr>
        <w:t>Exhibit 3(i) of NAI’s Quarterly Report on Form 10-Q for the quarterly period ended December 31, 2004, filed with the commission on February 14, 2005</w:t>
      </w:r>
    </w:p>
    <w:p>
      <w:pPr>
        <w:spacing w:after="0" w:line="177" w:lineRule="exact"/>
        <w:rPr>
          <w:sz w:val="20"/>
          <w:szCs w:val="20"/>
          <w:color w:val="auto"/>
        </w:rPr>
      </w:pPr>
    </w:p>
    <w:p>
      <w:pPr>
        <w:ind w:right="40"/>
        <w:spacing w:after="0" w:line="308" w:lineRule="auto"/>
        <w:rPr>
          <w:sz w:val="20"/>
          <w:szCs w:val="20"/>
          <w:color w:val="auto"/>
        </w:rPr>
      </w:pPr>
      <w:r>
        <w:rPr>
          <w:rFonts w:ascii="Times New Roman" w:cs="Times New Roman" w:eastAsia="Times New Roman" w:hAnsi="Times New Roman"/>
          <w:sz w:val="17"/>
          <w:szCs w:val="17"/>
          <w:color w:val="auto"/>
        </w:rPr>
        <w:t>Exhibit 3(ii) of NAI’s Current Report on Form 8-K dated February 9, 2009, filed with the commission on February 13, 2009</w:t>
      </w:r>
    </w:p>
    <w:p>
      <w:pPr>
        <w:spacing w:after="0" w:line="13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Exhibit 4(i) of NAI’s Annual Report on Form 10-K for the fiscal year ended June 30, 2005, filed with the commission on September 8, 2005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 (included in Exhibit 5.01)</w:t>
      </w:r>
    </w:p>
    <w:p>
      <w:pPr>
        <w:spacing w:after="0" w:line="220" w:lineRule="exact"/>
        <w:rPr>
          <w:sz w:val="20"/>
          <w:szCs w:val="20"/>
          <w:color w:val="auto"/>
        </w:rPr>
      </w:pPr>
    </w:p>
    <w:p>
      <w:pPr>
        <w:ind w:right="600"/>
        <w:spacing w:after="0" w:line="277" w:lineRule="auto"/>
        <w:rPr>
          <w:sz w:val="20"/>
          <w:szCs w:val="20"/>
          <w:color w:val="auto"/>
        </w:rPr>
      </w:pPr>
      <w:r>
        <w:rPr>
          <w:rFonts w:ascii="Times New Roman" w:cs="Times New Roman" w:eastAsia="Times New Roman" w:hAnsi="Times New Roman"/>
          <w:sz w:val="18"/>
          <w:szCs w:val="18"/>
          <w:color w:val="auto"/>
        </w:rPr>
        <w:t>Annex I of NAI’s definitive Proxy Statement filed with the commission on October 23,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ectPr>
          <w:pgSz w:w="11900" w:h="16838" w:orient="portrait"/>
          <w:cols w:equalWidth="0" w:num="2">
            <w:col w:w="5780" w:space="640"/>
            <w:col w:w="4800"/>
          </w:cols>
          <w:pgMar w:left="320" w:top="575" w:right="359" w:bottom="1440" w:gutter="0" w:footer="0" w:header="0"/>
          <w:type w:val="continuous"/>
        </w:sectPr>
      </w:pPr>
    </w:p>
    <w:bookmarkStart w:id="3" w:name="page4"/>
    <w:bookmarkEnd w:id="3"/>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224" w:lineRule="exact"/>
        <w:rPr>
          <w:sz w:val="20"/>
          <w:szCs w:val="20"/>
          <w:color w:val="auto"/>
        </w:rPr>
      </w:pPr>
    </w:p>
    <w:p>
      <w:pPr>
        <w:ind w:left="240" w:hanging="233"/>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NAI hereby undertakes:</w:t>
      </w:r>
    </w:p>
    <w:p>
      <w:pPr>
        <w:spacing w:after="0" w:line="220" w:lineRule="exact"/>
        <w:rPr>
          <w:rFonts w:ascii="Times New Roman" w:cs="Times New Roman" w:eastAsia="Times New Roman" w:hAnsi="Times New Roman"/>
          <w:sz w:val="18"/>
          <w:szCs w:val="18"/>
          <w:color w:val="auto"/>
        </w:rPr>
      </w:pPr>
    </w:p>
    <w:p>
      <w:pPr>
        <w:ind w:left="960" w:hanging="472"/>
        <w:spacing w:after="0"/>
        <w:tabs>
          <w:tab w:leader="none" w:pos="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47" w:lineRule="exact"/>
        <w:rPr>
          <w:rFonts w:ascii="Times New Roman" w:cs="Times New Roman" w:eastAsia="Times New Roman" w:hAnsi="Times New Roman"/>
          <w:sz w:val="18"/>
          <w:szCs w:val="18"/>
          <w:color w:val="auto"/>
        </w:rPr>
      </w:pPr>
    </w:p>
    <w:p>
      <w:pPr>
        <w:ind w:left="1440" w:hanging="471"/>
        <w:spacing w:after="0"/>
        <w:tabs>
          <w:tab w:leader="none" w:pos="14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1933 Act;</w:t>
      </w:r>
    </w:p>
    <w:p>
      <w:pPr>
        <w:spacing w:after="0" w:line="247" w:lineRule="exact"/>
        <w:rPr>
          <w:rFonts w:ascii="Times New Roman" w:cs="Times New Roman" w:eastAsia="Times New Roman" w:hAnsi="Times New Roman"/>
          <w:sz w:val="18"/>
          <w:szCs w:val="18"/>
          <w:color w:val="auto"/>
        </w:rPr>
      </w:pPr>
    </w:p>
    <w:p>
      <w:pPr>
        <w:ind w:left="1440" w:right="100" w:hanging="471"/>
        <w:spacing w:after="0" w:line="262" w:lineRule="auto"/>
        <w:tabs>
          <w:tab w:leader="none" w:pos="14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77" w:lineRule="exact"/>
        <w:rPr>
          <w:rFonts w:ascii="Times New Roman" w:cs="Times New Roman" w:eastAsia="Times New Roman" w:hAnsi="Times New Roman"/>
          <w:sz w:val="18"/>
          <w:szCs w:val="18"/>
          <w:color w:val="auto"/>
        </w:rPr>
      </w:pPr>
    </w:p>
    <w:p>
      <w:pPr>
        <w:ind w:left="1440" w:right="140" w:hanging="471"/>
        <w:spacing w:after="0" w:line="277" w:lineRule="auto"/>
        <w:tabs>
          <w:tab w:leader="none" w:pos="14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rFonts w:ascii="Times New Roman" w:cs="Times New Roman" w:eastAsia="Times New Roman" w:hAnsi="Times New Roman"/>
          <w:sz w:val="18"/>
          <w:szCs w:val="18"/>
          <w:color w:val="auto"/>
        </w:rPr>
      </w:pPr>
    </w:p>
    <w:p>
      <w:pPr>
        <w:jc w:val="both"/>
        <w:ind w:left="1440" w:right="40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SEC by NAI pursuant to Section 13 or Section 15(d) of Exchange Act that are incorporated by reference in this Registration Statement.</w:t>
      </w:r>
    </w:p>
    <w:p>
      <w:pPr>
        <w:spacing w:after="0" w:line="176" w:lineRule="exact"/>
        <w:rPr>
          <w:rFonts w:ascii="Times New Roman" w:cs="Times New Roman" w:eastAsia="Times New Roman" w:hAnsi="Times New Roman"/>
          <w:sz w:val="18"/>
          <w:szCs w:val="18"/>
          <w:color w:val="auto"/>
        </w:rPr>
      </w:pPr>
    </w:p>
    <w:p>
      <w:pPr>
        <w:ind w:left="960" w:right="220" w:hanging="472"/>
        <w:spacing w:after="0" w:line="262" w:lineRule="auto"/>
        <w:tabs>
          <w:tab w:leader="none" w:pos="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1933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7" w:lineRule="exact"/>
        <w:rPr>
          <w:rFonts w:ascii="Times New Roman" w:cs="Times New Roman" w:eastAsia="Times New Roman" w:hAnsi="Times New Roman"/>
          <w:sz w:val="18"/>
          <w:szCs w:val="18"/>
          <w:color w:val="auto"/>
        </w:rPr>
      </w:pPr>
    </w:p>
    <w:p>
      <w:pPr>
        <w:ind w:left="960" w:right="680" w:hanging="472"/>
        <w:spacing w:after="0" w:line="277" w:lineRule="auto"/>
        <w:tabs>
          <w:tab w:leader="none" w:pos="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3" w:lineRule="exact"/>
        <w:rPr>
          <w:rFonts w:ascii="Times New Roman" w:cs="Times New Roman" w:eastAsia="Times New Roman" w:hAnsi="Times New Roman"/>
          <w:sz w:val="18"/>
          <w:szCs w:val="18"/>
          <w:color w:val="auto"/>
        </w:rPr>
      </w:pPr>
    </w:p>
    <w:p>
      <w:pPr>
        <w:ind w:right="120" w:firstLine="7"/>
        <w:spacing w:after="0" w:line="257" w:lineRule="auto"/>
        <w:tabs>
          <w:tab w:leader="none" w:pos="38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NAI hereby undertakes that, for purposes of determining any liability under the 1933 Act, each filing of NAI’s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2" w:lineRule="exact"/>
        <w:rPr>
          <w:rFonts w:ascii="Times New Roman" w:cs="Times New Roman" w:eastAsia="Times New Roman" w:hAnsi="Times New Roman"/>
          <w:sz w:val="18"/>
          <w:szCs w:val="18"/>
          <w:color w:val="auto"/>
        </w:rPr>
      </w:pPr>
    </w:p>
    <w:p>
      <w:pPr>
        <w:ind w:firstLine="7"/>
        <w:spacing w:after="0" w:line="252" w:lineRule="auto"/>
        <w:tabs>
          <w:tab w:leader="none" w:pos="37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1933 Act may be permitted to directors, officers and controlling persons of NAI, NAI has been advised that in the opinion of the SEC such indemnification is against public policy as expressed in the 1933 Act and is, therefore, unenforceable. In the event that a claim for indemnification against such liabilities (other than the payment by NAI of expenses incurred or paid by a director, officer or controlling person of NAI in the successful defense of any action, suit or proceeding) is asserted by such director, officer or controlling person in connection with the securities being registered, NAI will, unless in the opinion of its counsel the matter has been settled by controlling precedent, submit to a court of appropriate jurisdiction the question whether such indemnification by it is against public policy as expressed in the 1933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351790</wp:posOffset>
            </wp:positionV>
            <wp:extent cx="71335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1933 Act, the registrant certifies that it has reasonable grounds to believe that it meets all of the requirements for filing on Form S-8 and has duly caused this registration statement to be signed on its behalf by the undersigned, thereunto duly authorized, in the City of Carlsbad, State of California, on May 21, 2026.</w:t>
      </w:r>
    </w:p>
    <w:p>
      <w:pPr>
        <w:spacing w:after="0" w:line="17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NATURAL ALTERNATIVES INTERNATIONAL, INC.</w:t>
      </w:r>
    </w:p>
    <w:p>
      <w:pPr>
        <w:spacing w:after="0" w:line="218"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xml:space="preserve">/s/ </w:t>
            </w:r>
            <w:r>
              <w:rPr>
                <w:rFonts w:ascii="Times New Roman" w:cs="Times New Roman" w:eastAsia="Times New Roman" w:hAnsi="Times New Roman"/>
                <w:sz w:val="18"/>
                <w:szCs w:val="18"/>
                <w:i w:val="1"/>
                <w:iCs w:val="1"/>
                <w:color w:val="auto"/>
                <w:w w:val="97"/>
              </w:rPr>
              <w:t>Kenneth E. Wolf</w:t>
            </w:r>
          </w:p>
        </w:tc>
      </w:tr>
      <w:tr>
        <w:trPr>
          <w:trHeight w:val="226"/>
        </w:trPr>
        <w:tc>
          <w:tcPr>
            <w:tcW w:w="320" w:type="dxa"/>
            <w:vAlign w:val="bottom"/>
          </w:tcPr>
          <w:p>
            <w:pPr>
              <w:spacing w:after="0"/>
              <w:rPr>
                <w:sz w:val="19"/>
                <w:szCs w:val="19"/>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Kenneth E. Wolf, President</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Pursuant to the requirements of the 1933 Act, this registration statement has been signed by the following persons in the capacities and on the date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tcPr>
          <w:p>
            <w:pPr>
              <w:spacing w:after="0"/>
              <w:rPr>
                <w:sz w:val="17"/>
                <w:szCs w:val="17"/>
                <w:color w:val="auto"/>
              </w:rPr>
            </w:pPr>
          </w:p>
        </w:tc>
        <w:tc>
          <w:tcPr>
            <w:tcW w:w="2340" w:type="dxa"/>
            <w:vAlign w:val="bottom"/>
            <w:gridSpan w:val="2"/>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020" w:type="dxa"/>
            <w:vAlign w:val="bottom"/>
          </w:tcPr>
          <w:p>
            <w:pPr>
              <w:spacing w:after="0"/>
              <w:rPr>
                <w:sz w:val="17"/>
                <w:szCs w:val="17"/>
                <w:color w:val="auto"/>
              </w:rPr>
            </w:pPr>
          </w:p>
        </w:tc>
        <w:tc>
          <w:tcPr>
            <w:tcW w:w="2520" w:type="dxa"/>
            <w:vAlign w:val="bottom"/>
            <w:gridSpan w:val="2"/>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800" w:type="dxa"/>
            <w:vAlign w:val="bottom"/>
            <w:gridSpan w:val="3"/>
          </w:tcPr>
          <w:p>
            <w:pPr>
              <w:jc w:val="center"/>
              <w:ind w:left="711"/>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16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48"/>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 xml:space="preserve">/s/ </w:t>
            </w:r>
            <w:r>
              <w:rPr>
                <w:rFonts w:ascii="Times New Roman" w:cs="Times New Roman" w:eastAsia="Times New Roman" w:hAnsi="Times New Roman"/>
                <w:sz w:val="18"/>
                <w:szCs w:val="18"/>
                <w:i w:val="1"/>
                <w:iCs w:val="1"/>
                <w:color w:val="auto"/>
                <w:w w:val="98"/>
              </w:rPr>
              <w:t>MARK A. LEDOUX</w:t>
            </w:r>
          </w:p>
        </w:tc>
        <w:tc>
          <w:tcPr>
            <w:tcW w:w="45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8"/>
              </w:rPr>
              <w:t>Chief Executive Officer and</w:t>
            </w:r>
          </w:p>
        </w:tc>
        <w:tc>
          <w:tcPr>
            <w:tcW w:w="1800" w:type="dxa"/>
            <w:vAlign w:val="bottom"/>
            <w:gridSpan w:val="3"/>
          </w:tcPr>
          <w:p>
            <w:pPr>
              <w:jc w:val="center"/>
              <w:ind w:left="711"/>
              <w:spacing w:after="0"/>
              <w:rPr>
                <w:sz w:val="20"/>
                <w:szCs w:val="20"/>
                <w:color w:val="auto"/>
              </w:rPr>
            </w:pPr>
            <w:r>
              <w:rPr>
                <w:rFonts w:ascii="Times New Roman" w:cs="Times New Roman" w:eastAsia="Times New Roman" w:hAnsi="Times New Roman"/>
                <w:sz w:val="18"/>
                <w:szCs w:val="18"/>
                <w:color w:val="auto"/>
                <w:w w:val="99"/>
              </w:rPr>
              <w:t>May 21, 2026</w:t>
            </w:r>
          </w:p>
        </w:tc>
      </w:tr>
      <w:tr>
        <w:trPr>
          <w:trHeight w:val="189"/>
        </w:trPr>
        <w:tc>
          <w:tcPr>
            <w:tcW w:w="39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(Mark A. LeDoux)</w:t>
            </w:r>
          </w:p>
        </w:tc>
        <w:tc>
          <w:tcPr>
            <w:tcW w:w="4540" w:type="dxa"/>
            <w:vAlign w:val="bottom"/>
            <w:gridSpan w:val="3"/>
          </w:tcPr>
          <w:p>
            <w:pPr>
              <w:jc w:val="center"/>
              <w:ind w:right="120"/>
              <w:spacing w:after="0" w:line="189" w:lineRule="exact"/>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33"/>
        </w:trPr>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5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27"/>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 xml:space="preserve">/s/ </w:t>
            </w:r>
            <w:r>
              <w:rPr>
                <w:rFonts w:ascii="Times New Roman" w:cs="Times New Roman" w:eastAsia="Times New Roman" w:hAnsi="Times New Roman"/>
                <w:sz w:val="18"/>
                <w:szCs w:val="18"/>
                <w:i w:val="1"/>
                <w:iCs w:val="1"/>
                <w:color w:val="auto"/>
                <w:w w:val="98"/>
              </w:rPr>
              <w:t>KENNETH E. WOLF</w:t>
            </w:r>
          </w:p>
        </w:tc>
        <w:tc>
          <w:tcPr>
            <w:tcW w:w="45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President</w:t>
            </w:r>
          </w:p>
        </w:tc>
        <w:tc>
          <w:tcPr>
            <w:tcW w:w="1800" w:type="dxa"/>
            <w:vAlign w:val="bottom"/>
            <w:gridSpan w:val="3"/>
          </w:tcPr>
          <w:p>
            <w:pPr>
              <w:jc w:val="center"/>
              <w:ind w:left="711"/>
              <w:spacing w:after="0"/>
              <w:rPr>
                <w:sz w:val="20"/>
                <w:szCs w:val="20"/>
                <w:color w:val="auto"/>
              </w:rPr>
            </w:pPr>
            <w:r>
              <w:rPr>
                <w:rFonts w:ascii="Times New Roman" w:cs="Times New Roman" w:eastAsia="Times New Roman" w:hAnsi="Times New Roman"/>
                <w:sz w:val="18"/>
                <w:szCs w:val="18"/>
                <w:color w:val="auto"/>
                <w:w w:val="99"/>
              </w:rPr>
              <w:t>May 21, 2026</w:t>
            </w:r>
          </w:p>
        </w:tc>
      </w:tr>
      <w:tr>
        <w:trPr>
          <w:trHeight w:val="230"/>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(Kenneth E. Wolf)</w:t>
            </w:r>
          </w:p>
        </w:tc>
        <w:tc>
          <w:tcPr>
            <w:tcW w:w="45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(principal financial and accounting officer)</w:t>
            </w: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05"/>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 xml:space="preserve">/s/ </w:t>
            </w:r>
            <w:r>
              <w:rPr>
                <w:rFonts w:ascii="Times New Roman" w:cs="Times New Roman" w:eastAsia="Times New Roman" w:hAnsi="Times New Roman"/>
                <w:sz w:val="18"/>
                <w:szCs w:val="18"/>
                <w:i w:val="1"/>
                <w:iCs w:val="1"/>
                <w:color w:val="auto"/>
                <w:w w:val="98"/>
              </w:rPr>
              <w:t>ALAN G. DUNN</w:t>
            </w:r>
          </w:p>
        </w:tc>
        <w:tc>
          <w:tcPr>
            <w:tcW w:w="45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gridSpan w:val="3"/>
          </w:tcPr>
          <w:p>
            <w:pPr>
              <w:jc w:val="center"/>
              <w:ind w:left="731"/>
              <w:spacing w:after="0"/>
              <w:rPr>
                <w:sz w:val="20"/>
                <w:szCs w:val="20"/>
                <w:color w:val="auto"/>
              </w:rPr>
            </w:pPr>
            <w:r>
              <w:rPr>
                <w:rFonts w:ascii="Times New Roman" w:cs="Times New Roman" w:eastAsia="Times New Roman" w:hAnsi="Times New Roman"/>
                <w:sz w:val="18"/>
                <w:szCs w:val="18"/>
                <w:color w:val="auto"/>
                <w:w w:val="97"/>
              </w:rPr>
              <w:t>May 21,2026</w:t>
            </w:r>
          </w:p>
        </w:tc>
      </w:tr>
      <w:tr>
        <w:trPr>
          <w:trHeight w:val="230"/>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(Alan G. Dunn)</w:t>
            </w:r>
          </w:p>
        </w:tc>
        <w:tc>
          <w:tcPr>
            <w:tcW w:w="2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05"/>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 xml:space="preserve">/s/ </w:t>
            </w:r>
            <w:r>
              <w:rPr>
                <w:rFonts w:ascii="Times New Roman" w:cs="Times New Roman" w:eastAsia="Times New Roman" w:hAnsi="Times New Roman"/>
                <w:sz w:val="18"/>
                <w:szCs w:val="18"/>
                <w:i w:val="1"/>
                <w:iCs w:val="1"/>
                <w:color w:val="auto"/>
                <w:w w:val="97"/>
              </w:rPr>
              <w:t>LAURA KAY MATHERLY</w:t>
            </w:r>
          </w:p>
        </w:tc>
        <w:tc>
          <w:tcPr>
            <w:tcW w:w="45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gridSpan w:val="3"/>
          </w:tcPr>
          <w:p>
            <w:pPr>
              <w:jc w:val="center"/>
              <w:ind w:left="711"/>
              <w:spacing w:after="0"/>
              <w:rPr>
                <w:sz w:val="20"/>
                <w:szCs w:val="20"/>
                <w:color w:val="auto"/>
              </w:rPr>
            </w:pPr>
            <w:r>
              <w:rPr>
                <w:rFonts w:ascii="Times New Roman" w:cs="Times New Roman" w:eastAsia="Times New Roman" w:hAnsi="Times New Roman"/>
                <w:sz w:val="18"/>
                <w:szCs w:val="18"/>
                <w:color w:val="auto"/>
                <w:w w:val="99"/>
              </w:rPr>
              <w:t>May 21, 2026</w:t>
            </w:r>
          </w:p>
        </w:tc>
      </w:tr>
      <w:tr>
        <w:trPr>
          <w:trHeight w:val="230"/>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(Laura Kay Matherly)</w:t>
            </w:r>
          </w:p>
        </w:tc>
        <w:tc>
          <w:tcPr>
            <w:tcW w:w="2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05"/>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 xml:space="preserve">/s/ </w:t>
            </w:r>
            <w:r>
              <w:rPr>
                <w:rFonts w:ascii="Times New Roman" w:cs="Times New Roman" w:eastAsia="Times New Roman" w:hAnsi="Times New Roman"/>
                <w:sz w:val="18"/>
                <w:szCs w:val="18"/>
                <w:i w:val="1"/>
                <w:iCs w:val="1"/>
                <w:color w:val="auto"/>
                <w:w w:val="98"/>
              </w:rPr>
              <w:t>GURU RAMANATHAN</w:t>
            </w:r>
          </w:p>
        </w:tc>
        <w:tc>
          <w:tcPr>
            <w:tcW w:w="45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gridSpan w:val="3"/>
          </w:tcPr>
          <w:p>
            <w:pPr>
              <w:jc w:val="center"/>
              <w:ind w:left="711"/>
              <w:spacing w:after="0"/>
              <w:rPr>
                <w:sz w:val="20"/>
                <w:szCs w:val="20"/>
                <w:color w:val="auto"/>
              </w:rPr>
            </w:pPr>
            <w:r>
              <w:rPr>
                <w:rFonts w:ascii="Times New Roman" w:cs="Times New Roman" w:eastAsia="Times New Roman" w:hAnsi="Times New Roman"/>
                <w:sz w:val="18"/>
                <w:szCs w:val="18"/>
                <w:color w:val="auto"/>
                <w:w w:val="99"/>
              </w:rPr>
              <w:t>May 21, 2026</w:t>
            </w:r>
          </w:p>
        </w:tc>
      </w:tr>
      <w:tr>
        <w:trPr>
          <w:trHeight w:val="230"/>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(Guru Ramanathan)</w:t>
            </w:r>
          </w:p>
        </w:tc>
        <w:tc>
          <w:tcPr>
            <w:tcW w:w="2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r>
    </w:tbl>
    <w:p>
      <w:pPr>
        <w:sectPr>
          <w:pgSz w:w="11900" w:h="16838" w:orient="portrait"/>
          <w:cols w:equalWidth="0" w:num="1">
            <w:col w:w="11240"/>
          </w:cols>
          <w:pgMar w:left="320" w:top="571"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5.01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18415</wp:posOffset>
            </wp:positionV>
            <wp:extent cx="1772920" cy="407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1772920" cy="407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19,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Natural Alternatives International,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1535 Faraday Avenue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Carlsbad, CA 92008</w:t>
      </w:r>
    </w:p>
    <w:p>
      <w:pPr>
        <w:spacing w:after="0" w:line="202"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S-8 Registration Statement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0"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We have acted as your counsel in connection with the Registration Statement on Form S-8 (the “Registration Statement”) to be filed with the United States Securities and Exchange Commission under the Securities Act of 1933, as amended (the “1933 Act”), for the registration of 550,000 shares (the “Shares”) of Common Stock, par value $0.01, of Natural Alternatives International, Inc., a Delaware corporation (the “Company”), issuable under the Company’s Amended 2020 Omnibus Incentive Plan (the “Plan”).</w:t>
      </w:r>
    </w:p>
    <w:p>
      <w:pPr>
        <w:spacing w:after="0" w:line="182" w:lineRule="exact"/>
        <w:rPr>
          <w:sz w:val="20"/>
          <w:szCs w:val="20"/>
          <w:color w:val="auto"/>
        </w:rPr>
      </w:pPr>
    </w:p>
    <w:p>
      <w:pPr>
        <w:jc w:val="both"/>
        <w:ind w:firstLine="641"/>
        <w:spacing w:after="0" w:line="250" w:lineRule="auto"/>
        <w:rPr>
          <w:sz w:val="20"/>
          <w:szCs w:val="20"/>
          <w:color w:val="auto"/>
        </w:rPr>
      </w:pPr>
      <w:r>
        <w:rPr>
          <w:rFonts w:ascii="Times New Roman" w:cs="Times New Roman" w:eastAsia="Times New Roman" w:hAnsi="Times New Roman"/>
          <w:sz w:val="18"/>
          <w:szCs w:val="18"/>
          <w:color w:val="auto"/>
        </w:rPr>
        <w:t>You have requested our opinion as to the matters set forth below in connection with the Registration Statement. For purposes of rendering that opinion, we have examined the Registration Statement, the Company’s Amended and Restated Certificate of Incorporation, the Company’s Bylaws, a certain “good standing” certificate with respect to the Company, dated May 8, 2026, issued by the Office of the Secretary of State of the State of Delaware, the Plan, the corporate action of the Company that provides for the issuance of the Shares, and a signed Officer's Certificate from certain officers of the Company, dated May 19, 2026, as to certain factual matters relevant to our opinion, and we have made such other investigation as we have deemed appropriate. We have examined and relied upon certificates of public officials and, as to certain matters of fact that are material to our opinion, we have also relied on a certificate of the Chief Executive Officer and the Chief Financial Officer of the Company. In such examination, we have assumed the authenticity of all documents submitted to us as originals, the conformity to the originals of all documents submitted to us as copies and the authenticity of the originals of all documents submitted to us as copies. We have also assumed the legal capacity of all natural persons, the genuineness of the signatures of persons signing all documents in connection with which this opinion is rendered, the authority of such persons signing on behalf of the parties thereto and the due authorization, execution and delivery of all documents by the parties thereto other than the Company. We have not independently established or verified any facts relevant to the opinions expressed herein, but have relied upon statements and representations of other officers and other representatives of the Company and others as to factual matters.</w:t>
      </w:r>
    </w:p>
    <w:p>
      <w:pPr>
        <w:spacing w:after="0" w:line="189"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Our opinion set forth below is limited to the Delaware General Corporation Law, including the applicable provisions of the Delaware Constitution and reported judicial decisions interpreting those laws as in effect on the date hereof, and we assume no obligation to update, revise or supplement this opinion should such laws be changed by legislative action, judicial decision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71335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77" w:lineRule="exact"/>
        <w:rPr>
          <w:sz w:val="20"/>
          <w:szCs w:val="20"/>
          <w:color w:val="auto"/>
        </w:rPr>
      </w:pPr>
    </w:p>
    <w:p>
      <w:pPr>
        <w:jc w:val="center"/>
        <w:spacing w:after="0" w:line="254" w:lineRule="auto"/>
        <w:rPr>
          <w:sz w:val="20"/>
          <w:szCs w:val="20"/>
          <w:color w:val="auto"/>
        </w:rPr>
      </w:pPr>
      <w:r>
        <w:rPr>
          <w:rFonts w:ascii="Times New Roman" w:cs="Times New Roman" w:eastAsia="Times New Roman" w:hAnsi="Times New Roman"/>
          <w:sz w:val="12"/>
          <w:szCs w:val="12"/>
          <w:color w:val="auto"/>
        </w:rPr>
        <w:t>ATLANTA | AUSTIN | BOSTON | CHARLOTTE | CHICAGO | CINCINNATI | CLEVELAND | COLUMBUS | DALLAS | DENVER | DETROIT HOUSTON | KANSAS CITY/OVERLAND PARK | LAS VEGAS | LONDON | LOS ANGELES | MEXICO CITY | MIAMI | MILWAUKEE | MONTERREY NAPLES | NEW YORK | PALO ALTO | PHILADELPHIA | PRINCETON | SALT LAKE CITY | SEATTLE | WASHINGTON D.C. | WILMINGTON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335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color w:val="auto"/>
        </w:rPr>
        <w:t>Natural Alternatives International, Inc.</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19, 2026  |  Page 2 of 2</w:t>
      </w:r>
    </w:p>
    <w:p>
      <w:pPr>
        <w:spacing w:after="0" w:line="204" w:lineRule="exact"/>
        <w:rPr>
          <w:sz w:val="20"/>
          <w:szCs w:val="20"/>
          <w:color w:val="auto"/>
        </w:rPr>
      </w:pPr>
    </w:p>
    <w:p>
      <w:pPr>
        <w:ind w:firstLine="641"/>
        <w:spacing w:after="0" w:line="277" w:lineRule="auto"/>
        <w:rPr>
          <w:sz w:val="20"/>
          <w:szCs w:val="20"/>
          <w:color w:val="auto"/>
        </w:rPr>
      </w:pPr>
      <w:r>
        <w:rPr>
          <w:rFonts w:ascii="Times New Roman" w:cs="Times New Roman" w:eastAsia="Times New Roman" w:hAnsi="Times New Roman"/>
          <w:sz w:val="18"/>
          <w:szCs w:val="18"/>
          <w:color w:val="auto"/>
        </w:rPr>
        <w:t>Based upon and subject to the foregoing, it is our opinion that the Shares are duly authorized for issuance by the Company and, when issued and paid for as described in the Plan included in the Registration Statement, will be validly issued, fully paid, and nonassessable.</w:t>
      </w:r>
    </w:p>
    <w:p>
      <w:pPr>
        <w:spacing w:after="0" w:line="163" w:lineRule="exact"/>
        <w:rPr>
          <w:sz w:val="20"/>
          <w:szCs w:val="20"/>
          <w:color w:val="auto"/>
        </w:rPr>
      </w:pPr>
    </w:p>
    <w:p>
      <w:pPr>
        <w:ind w:firstLine="641"/>
        <w:spacing w:after="0" w:line="277" w:lineRule="auto"/>
        <w:rPr>
          <w:sz w:val="20"/>
          <w:szCs w:val="20"/>
          <w:color w:val="auto"/>
        </w:rPr>
      </w:pPr>
      <w:r>
        <w:rPr>
          <w:rFonts w:ascii="Times New Roman" w:cs="Times New Roman" w:eastAsia="Times New Roman" w:hAnsi="Times New Roman"/>
          <w:sz w:val="18"/>
          <w:szCs w:val="18"/>
          <w:color w:val="auto"/>
        </w:rPr>
        <w:t>This opinion is limited to the specific issues addressed herein, and no opinion may be inferred or implied beyond those expressly stated herein. This opinion is furnished to you in connection with the filing of the Registration Statement.</w:t>
      </w:r>
    </w:p>
    <w:p>
      <w:pPr>
        <w:spacing w:after="0" w:line="163" w:lineRule="exact"/>
        <w:rPr>
          <w:sz w:val="20"/>
          <w:szCs w:val="20"/>
          <w:color w:val="auto"/>
        </w:rPr>
      </w:pPr>
    </w:p>
    <w:p>
      <w:pPr>
        <w:ind w:firstLine="641"/>
        <w:spacing w:after="0" w:line="277"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our consent, we do not thereby admit we are in the category of persons whose consent is required under Section 7 of the 1933 Act or the rules and regulations thereunder.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287655</wp:posOffset>
            </wp:positionV>
            <wp:extent cx="1976120" cy="2374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extLst>
                    </a:blip>
                    <a:srcRect/>
                    <a:stretch>
                      <a:fillRect/>
                    </a:stretch>
                  </pic:blipFill>
                  <pic:spPr bwMode="auto">
                    <a:xfrm>
                      <a:off x="0" y="0"/>
                      <a:ext cx="1976120" cy="23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FisherBroyles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457200</wp:posOffset>
            </wp:positionV>
            <wp:extent cx="71335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line="254" w:lineRule="auto"/>
        <w:rPr>
          <w:sz w:val="20"/>
          <w:szCs w:val="20"/>
          <w:color w:val="auto"/>
        </w:rPr>
      </w:pPr>
      <w:r>
        <w:rPr>
          <w:rFonts w:ascii="Times New Roman" w:cs="Times New Roman" w:eastAsia="Times New Roman" w:hAnsi="Times New Roman"/>
          <w:sz w:val="12"/>
          <w:szCs w:val="12"/>
          <w:color w:val="auto"/>
        </w:rPr>
        <w:t>ATLANTA | AUSTIN | BOSTON | CHARLOTTE | CHICAGO | CINCINNATI | CLEVELAND | COLUMBUS | DALLAS | DENVER | DETROIT HOUSTON | KANSAS CITY/OVERLAND PARK | LAS VEGAS | LONDON | LOS ANGELES | MEXICO CITY | MIAMI | MILWAUKEE | MONTERREY NAPLES | NEW YORK | PALO ALTO | PHILADELPHIA | PRINCETON | SALT LAKE CITY | SEATTLE | WASHINGTON D.C. | WILMINGTON</w:t>
      </w:r>
    </w:p>
    <w:p>
      <w:pPr>
        <w:sectPr>
          <w:pgSz w:w="11900" w:h="16838" w:orient="portrait"/>
          <w:cols w:equalWidth="0" w:num="1">
            <w:col w:w="11240"/>
          </w:cols>
          <w:pgMar w:left="320" w:top="118"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3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on Form S-8 of Natural Alternatives International, Inc. (the “Company”) of our report dated September 23, 2025, relating to the consolidated financial statements as of June 30, 2025 and 2024, and for each of the years then ended, which appears in the Company’s Annual Report on Form 10-K for the fiscal year ended June 30, 2025.</w:t>
      </w:r>
    </w:p>
    <w:p>
      <w:pPr>
        <w:spacing w:after="0" w:line="3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/s/ Haskell &amp; White LLP</w:t>
      </w:r>
    </w:p>
    <w:p>
      <w:pPr>
        <w:spacing w:after="0" w:line="1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HASKELL &amp; WHITE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18, 2026</w:t>
      </w:r>
    </w:p>
    <w:p>
      <w:pPr>
        <w:sectPr>
          <w:pgSz w:w="11900" w:h="16838" w:orient="portrait"/>
          <w:cols w:equalWidth="0" w:num="1">
            <w:col w:w="11240"/>
          </w:cols>
          <w:pgMar w:left="320" w:top="117" w:right="339" w:bottom="1440" w:gutter="0" w:footer="0" w:header="0"/>
        </w:sectPr>
      </w:pPr>
    </w:p>
    <w:bookmarkStart w:id="8" w:name="page9"/>
    <w:bookmarkEnd w:id="8"/>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NATURAL ALTERNATIVES INTERNATIONAL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4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vMerge w:val="restart"/>
            <w:shd w:val="clear" w:color="auto" w:fill="9ADAF6"/>
          </w:tcPr>
          <w:p>
            <w:pPr>
              <w:ind w:left="160"/>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0"/>
                <w:szCs w:val="20"/>
                <w:color w:val="auto"/>
              </w:rPr>
            </w:pPr>
          </w:p>
        </w:tc>
        <w:tc>
          <w:tcPr>
            <w:tcW w:w="12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0"/>
                <w:szCs w:val="20"/>
                <w:color w:val="auto"/>
              </w:rPr>
            </w:pPr>
          </w:p>
        </w:tc>
        <w:tc>
          <w:tcPr>
            <w:tcW w:w="1140" w:type="dxa"/>
            <w:vAlign w:val="bottom"/>
            <w:vMerge w:val="restart"/>
            <w:shd w:val="clear" w:color="auto" w:fill="9ADAF6"/>
          </w:tcPr>
          <w:p>
            <w:pPr>
              <w:jc w:val="right"/>
              <w:ind w:right="7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0"/>
                <w:szCs w:val="20"/>
                <w:color w:val="auto"/>
              </w:rPr>
            </w:pPr>
          </w:p>
        </w:tc>
        <w:tc>
          <w:tcPr>
            <w:tcW w:w="12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4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18"/>
                <w:szCs w:val="18"/>
                <w:color w:val="auto"/>
              </w:rPr>
            </w:pPr>
          </w:p>
        </w:tc>
        <w:tc>
          <w:tcPr>
            <w:tcW w:w="14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18"/>
                <w:szCs w:val="18"/>
                <w:color w:val="auto"/>
              </w:rPr>
            </w:pPr>
          </w:p>
        </w:tc>
        <w:tc>
          <w:tcPr>
            <w:tcW w:w="10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18"/>
                <w:szCs w:val="18"/>
                <w:color w:val="auto"/>
              </w:rPr>
            </w:pPr>
          </w:p>
        </w:tc>
        <w:tc>
          <w:tcPr>
            <w:tcW w:w="14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0" w:type="dxa"/>
            <w:vAlign w:val="bottom"/>
            <w:tcBorders>
              <w:left w:val="single" w:sz="8" w:color="auto"/>
            </w:tcBorders>
          </w:tcPr>
          <w:p>
            <w:pPr>
              <w:spacing w:after="0"/>
              <w:rPr>
                <w:sz w:val="23"/>
                <w:szCs w:val="23"/>
                <w:color w:val="auto"/>
              </w:rPr>
            </w:pPr>
          </w:p>
        </w:tc>
        <w:tc>
          <w:tcPr>
            <w:tcW w:w="1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Type</w:t>
            </w:r>
          </w:p>
        </w:tc>
        <w:tc>
          <w:tcPr>
            <w:tcW w:w="40" w:type="dxa"/>
            <w:vAlign w:val="bottom"/>
          </w:tcPr>
          <w:p>
            <w:pPr>
              <w:spacing w:after="0"/>
              <w:rPr>
                <w:sz w:val="23"/>
                <w:szCs w:val="23"/>
                <w:color w:val="auto"/>
              </w:rPr>
            </w:pPr>
          </w:p>
        </w:tc>
        <w:tc>
          <w:tcPr>
            <w:tcW w:w="1180" w:type="dxa"/>
            <w:vAlign w:val="bottom"/>
            <w:shd w:val="clear" w:color="auto" w:fill="9ADAF6"/>
          </w:tcPr>
          <w:p>
            <w:pPr>
              <w:ind w:left="40"/>
              <w:spacing w:after="0"/>
              <w:rPr>
                <w:sz w:val="20"/>
                <w:szCs w:val="20"/>
                <w:color w:val="auto"/>
              </w:rPr>
            </w:pPr>
            <w:r>
              <w:rPr>
                <w:rFonts w:ascii="Arial" w:cs="Arial" w:eastAsia="Arial" w:hAnsi="Arial"/>
                <w:sz w:val="21"/>
                <w:szCs w:val="21"/>
                <w:b w:val="1"/>
                <w:bCs w:val="1"/>
                <w:color w:val="auto"/>
              </w:rPr>
              <w:t>Class Title</w:t>
            </w:r>
          </w:p>
        </w:tc>
        <w:tc>
          <w:tcPr>
            <w:tcW w:w="20" w:type="dxa"/>
            <w:vAlign w:val="bottom"/>
          </w:tcPr>
          <w:p>
            <w:pPr>
              <w:spacing w:after="0"/>
              <w:rPr>
                <w:sz w:val="23"/>
                <w:szCs w:val="23"/>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Rule</w:t>
            </w:r>
          </w:p>
        </w:tc>
        <w:tc>
          <w:tcPr>
            <w:tcW w:w="20" w:type="dxa"/>
            <w:vAlign w:val="bottom"/>
          </w:tcPr>
          <w:p>
            <w:pPr>
              <w:spacing w:after="0"/>
              <w:rPr>
                <w:sz w:val="23"/>
                <w:szCs w:val="23"/>
                <w:color w:val="auto"/>
              </w:rPr>
            </w:pPr>
          </w:p>
        </w:tc>
        <w:tc>
          <w:tcPr>
            <w:tcW w:w="1140" w:type="dxa"/>
            <w:vAlign w:val="bottom"/>
            <w:shd w:val="clear" w:color="auto" w:fill="9ADAF6"/>
          </w:tcPr>
          <w:p>
            <w:pPr>
              <w:jc w:val="right"/>
              <w:spacing w:after="0"/>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3"/>
                <w:szCs w:val="23"/>
                <w:color w:val="auto"/>
              </w:rPr>
            </w:pPr>
          </w:p>
        </w:tc>
        <w:tc>
          <w:tcPr>
            <w:tcW w:w="12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Price Per</w:t>
            </w:r>
          </w:p>
        </w:tc>
        <w:tc>
          <w:tcPr>
            <w:tcW w:w="20" w:type="dxa"/>
            <w:vAlign w:val="bottom"/>
          </w:tcPr>
          <w:p>
            <w:pPr>
              <w:spacing w:after="0"/>
              <w:rPr>
                <w:sz w:val="23"/>
                <w:szCs w:val="23"/>
                <w:color w:val="auto"/>
              </w:rPr>
            </w:pPr>
          </w:p>
        </w:tc>
        <w:tc>
          <w:tcPr>
            <w:tcW w:w="14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Offering Price</w:t>
            </w:r>
          </w:p>
        </w:tc>
        <w:tc>
          <w:tcPr>
            <w:tcW w:w="20" w:type="dxa"/>
            <w:vAlign w:val="bottom"/>
          </w:tcPr>
          <w:p>
            <w:pPr>
              <w:spacing w:after="0"/>
              <w:rPr>
                <w:sz w:val="23"/>
                <w:szCs w:val="23"/>
                <w:color w:val="auto"/>
              </w:rPr>
            </w:pPr>
          </w:p>
        </w:tc>
        <w:tc>
          <w:tcPr>
            <w:tcW w:w="10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4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Unit</w:t>
            </w:r>
          </w:p>
        </w:tc>
        <w:tc>
          <w:tcPr>
            <w:tcW w:w="20" w:type="dxa"/>
            <w:vAlign w:val="bottom"/>
          </w:tcPr>
          <w:p>
            <w:pPr>
              <w:spacing w:after="0"/>
              <w:rPr>
                <w:sz w:val="24"/>
                <w:szCs w:val="24"/>
                <w:color w:val="auto"/>
              </w:rPr>
            </w:pPr>
          </w:p>
        </w:tc>
        <w:tc>
          <w:tcPr>
            <w:tcW w:w="14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 par</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value $0.01</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issuable</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40" w:type="dxa"/>
            <w:vAlign w:val="bottom"/>
          </w:tcPr>
          <w:p>
            <w:pPr>
              <w:spacing w:after="0"/>
              <w:rPr>
                <w:sz w:val="20"/>
                <w:szCs w:val="20"/>
                <w:color w:val="auto"/>
              </w:rPr>
            </w:pPr>
          </w:p>
        </w:tc>
        <w:tc>
          <w:tcPr>
            <w:tcW w:w="118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under</w:t>
            </w:r>
          </w:p>
        </w:tc>
        <w:tc>
          <w:tcPr>
            <w:tcW w:w="20" w:type="dxa"/>
            <w:vAlign w:val="bottom"/>
          </w:tcPr>
          <w:p>
            <w:pPr>
              <w:spacing w:after="0"/>
              <w:rPr>
                <w:sz w:val="20"/>
                <w:szCs w:val="20"/>
                <w:color w:val="auto"/>
              </w:rPr>
            </w:pPr>
          </w:p>
        </w:tc>
        <w:tc>
          <w:tcPr>
            <w:tcW w:w="120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Other</w:t>
            </w:r>
          </w:p>
        </w:tc>
        <w:tc>
          <w:tcPr>
            <w:tcW w:w="20" w:type="dxa"/>
            <w:vAlign w:val="bottom"/>
          </w:tcPr>
          <w:p>
            <w:pPr>
              <w:spacing w:after="0"/>
              <w:rPr>
                <w:sz w:val="20"/>
                <w:szCs w:val="2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550,000</w:t>
            </w:r>
          </w:p>
        </w:tc>
        <w:tc>
          <w:tcPr>
            <w:tcW w:w="20" w:type="dxa"/>
            <w:vAlign w:val="bottom"/>
          </w:tcPr>
          <w:p>
            <w:pPr>
              <w:spacing w:after="0"/>
              <w:rPr>
                <w:sz w:val="20"/>
                <w:szCs w:val="20"/>
                <w:color w:val="auto"/>
              </w:rPr>
            </w:pPr>
          </w:p>
        </w:tc>
        <w:tc>
          <w:tcPr>
            <w:tcW w:w="12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$ 2.68</w:t>
            </w:r>
          </w:p>
        </w:tc>
        <w:tc>
          <w:tcPr>
            <w:tcW w:w="20" w:type="dxa"/>
            <w:vAlign w:val="bottom"/>
          </w:tcPr>
          <w:p>
            <w:pPr>
              <w:spacing w:after="0"/>
              <w:rPr>
                <w:sz w:val="20"/>
                <w:szCs w:val="20"/>
                <w:color w:val="auto"/>
              </w:rPr>
            </w:pPr>
          </w:p>
        </w:tc>
        <w:tc>
          <w:tcPr>
            <w:tcW w:w="14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20"/>
                <w:szCs w:val="20"/>
                <w:color w:val="auto"/>
              </w:rPr>
            </w:pPr>
          </w:p>
        </w:tc>
        <w:tc>
          <w:tcPr>
            <w:tcW w:w="14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$ 203.56</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vMerge w:val="continue"/>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Amendment</w:t>
            </w:r>
          </w:p>
        </w:tc>
        <w:tc>
          <w:tcPr>
            <w:tcW w:w="20" w:type="dxa"/>
            <w:vAlign w:val="bottom"/>
          </w:tcPr>
          <w:p>
            <w:pPr>
              <w:spacing w:after="0"/>
              <w:rPr>
                <w:sz w:val="20"/>
                <w:szCs w:val="20"/>
                <w:color w:val="auto"/>
              </w:rPr>
            </w:pPr>
          </w:p>
        </w:tc>
        <w:tc>
          <w:tcPr>
            <w:tcW w:w="120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1,474,000.00</w:t>
            </w:r>
          </w:p>
        </w:tc>
        <w:tc>
          <w:tcPr>
            <w:tcW w:w="20" w:type="dxa"/>
            <w:vAlign w:val="bottom"/>
          </w:tcPr>
          <w:p>
            <w:pPr>
              <w:spacing w:after="0"/>
              <w:rPr>
                <w:sz w:val="20"/>
                <w:szCs w:val="20"/>
                <w:color w:val="auto"/>
              </w:rPr>
            </w:pPr>
          </w:p>
        </w:tc>
        <w:tc>
          <w:tcPr>
            <w:tcW w:w="106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vMerge w:val="continue"/>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One to the</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2020</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Omnibus</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Incentive</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0"/>
                <w:szCs w:val="20"/>
                <w:color w:val="auto"/>
              </w:rPr>
            </w:pPr>
            <w:r>
              <w:rPr>
                <w:rFonts w:ascii="Arial" w:cs="Arial" w:eastAsia="Arial" w:hAnsi="Arial"/>
                <w:sz w:val="21"/>
                <w:szCs w:val="21"/>
                <w:color w:val="auto"/>
              </w:rPr>
              <w:t>Plan</w:t>
            </w:r>
          </w:p>
        </w:tc>
        <w:tc>
          <w:tcPr>
            <w:tcW w:w="20" w:type="dxa"/>
            <w:vAlign w:val="bottom"/>
          </w:tcPr>
          <w:p>
            <w:pPr>
              <w:spacing w:after="0"/>
              <w:rPr>
                <w:sz w:val="24"/>
                <w:szCs w:val="24"/>
                <w:color w:val="auto"/>
              </w:rPr>
            </w:pPr>
          </w:p>
        </w:tc>
        <w:tc>
          <w:tcPr>
            <w:tcW w:w="12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$ 203.56</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1,474,000.00</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$ 203.56</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680" w:firstLine="2"/>
        <w:spacing w:after="0" w:line="243" w:lineRule="auto"/>
        <w:tabs>
          <w:tab w:leader="none" w:pos="1038" w:val="left"/>
        </w:tabs>
        <w:numPr>
          <w:ilvl w:val="0"/>
          <w:numId w:val="4"/>
        </w:numPr>
        <w:rPr>
          <w:rFonts w:ascii="Arial" w:cs="Arial" w:eastAsia="Arial" w:hAnsi="Arial"/>
          <w:sz w:val="21"/>
          <w:szCs w:val="21"/>
          <w:color w:val="auto"/>
        </w:rPr>
      </w:pPr>
      <w:r>
        <w:rPr>
          <w:rFonts w:ascii="Arial" w:cs="Arial" w:eastAsia="Arial" w:hAnsi="Arial"/>
          <w:sz w:val="21"/>
          <w:szCs w:val="21"/>
          <w:color w:val="auto"/>
        </w:rPr>
        <w:t>In accordance with Rule 416 under the Securities Act of 1933, as amended, this Registration Statement shall be deemed to cover any additional shares of the Registrant's common stock that may be issued pursuant to stock splits, stock dividends, or similar transactions resulting in an increase in the number of outstanding shares of common stock.</w:t>
      </w:r>
    </w:p>
    <w:p>
      <w:pPr>
        <w:spacing w:after="0" w:line="3" w:lineRule="exact"/>
        <w:rPr>
          <w:rFonts w:ascii="Arial" w:cs="Arial" w:eastAsia="Arial" w:hAnsi="Arial"/>
          <w:sz w:val="21"/>
          <w:szCs w:val="21"/>
          <w:color w:val="auto"/>
        </w:rPr>
      </w:pPr>
    </w:p>
    <w:p>
      <w:pPr>
        <w:ind w:left="800" w:right="820" w:firstLine="2"/>
        <w:spacing w:after="0" w:line="238" w:lineRule="auto"/>
        <w:tabs>
          <w:tab w:leader="none" w:pos="1038" w:val="left"/>
        </w:tabs>
        <w:numPr>
          <w:ilvl w:val="0"/>
          <w:numId w:val="4"/>
        </w:numPr>
        <w:rPr>
          <w:rFonts w:ascii="Arial" w:cs="Arial" w:eastAsia="Arial" w:hAnsi="Arial"/>
          <w:sz w:val="21"/>
          <w:szCs w:val="21"/>
          <w:color w:val="auto"/>
        </w:rPr>
      </w:pPr>
      <w:r>
        <w:rPr>
          <w:rFonts w:ascii="Arial" w:cs="Arial" w:eastAsia="Arial" w:hAnsi="Arial"/>
          <w:sz w:val="21"/>
          <w:szCs w:val="21"/>
          <w:color w:val="auto"/>
        </w:rPr>
        <w:t>Consists of 550,000 shares issuable pursuant to the grant or exercise of awards under Amendment One to the 2020 Omnibus Incentive Plan</w:t>
      </w:r>
    </w:p>
    <w:p>
      <w:pPr>
        <w:spacing w:after="0" w:line="1" w:lineRule="exact"/>
        <w:rPr>
          <w:rFonts w:ascii="Arial" w:cs="Arial" w:eastAsia="Arial" w:hAnsi="Arial"/>
          <w:sz w:val="21"/>
          <w:szCs w:val="21"/>
          <w:color w:val="auto"/>
        </w:rPr>
      </w:pPr>
    </w:p>
    <w:p>
      <w:pPr>
        <w:ind w:left="800" w:right="800" w:firstLine="2"/>
        <w:spacing w:after="0" w:line="243" w:lineRule="auto"/>
        <w:tabs>
          <w:tab w:leader="none" w:pos="1038" w:val="left"/>
        </w:tabs>
        <w:numPr>
          <w:ilvl w:val="0"/>
          <w:numId w:val="4"/>
        </w:numPr>
        <w:rPr>
          <w:rFonts w:ascii="Arial" w:cs="Arial" w:eastAsia="Arial" w:hAnsi="Arial"/>
          <w:sz w:val="21"/>
          <w:szCs w:val="21"/>
          <w:color w:val="auto"/>
        </w:rPr>
      </w:pPr>
      <w:r>
        <w:rPr>
          <w:rFonts w:ascii="Arial" w:cs="Arial" w:eastAsia="Arial" w:hAnsi="Arial"/>
          <w:sz w:val="21"/>
          <w:szCs w:val="21"/>
          <w:color w:val="auto"/>
        </w:rPr>
        <w:t>Estimated solely for the purpose of calculating the registration fee pursuant to Rule 457(h) and Rule 457(c) under the Securities Act. The proposed maximum offering price per unit and the maximum aggregate offering price are based on the average of the high and low prices of the Registrant's common stock as reported on The Nasdaq Global Market on May 18, 2026, which date is within five business days prior to the filing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80010</wp:posOffset>
            </wp:positionV>
            <wp:extent cx="63874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3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1"/>
                <w:szCs w:val="21"/>
                <w:color w:val="auto"/>
              </w:rPr>
            </w:pPr>
          </w:p>
        </w:tc>
        <w:tc>
          <w:tcPr>
            <w:tcW w:w="760" w:type="dxa"/>
            <w:vAlign w:val="bottom"/>
            <w:shd w:val="clear" w:color="auto" w:fill="9ADAF6"/>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37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1"/>
      <w:numFmt w:val="decimal"/>
      <w:start w:val="107"/>
    </w:lvl>
  </w:abstractNum>
  <w:abstractNum w:abstractNumId="2">
    <w:nsid w:val="2AE8944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8" Type="http://schemas.openxmlformats.org/officeDocument/2006/relationships/image" Target="media/image10.png"/><Relationship Id="rId33" Type="http://schemas.openxmlformats.org/officeDocument/2006/relationships/image" Target="media/image11.png"/><Relationship Id="rId34" Type="http://schemas.openxmlformats.org/officeDocument/2006/relationships/image" Target="media/image12.png"/><Relationship Id="rId35" Type="http://schemas.openxmlformats.org/officeDocument/2006/relationships/image" Target="media/image13.jpeg"/><Relationship Id="rId36" Type="http://schemas.openxmlformats.org/officeDocument/2006/relationships/image" Target="media/image14.png"/><Relationship Id="rId37" Type="http://schemas.openxmlformats.org/officeDocument/2006/relationships/image" Target="media/image15.png"/><Relationship Id="rId38" Type="http://schemas.openxmlformats.org/officeDocument/2006/relationships/image" Target="media/image16.jpeg"/><Relationship Id="rId39" Type="http://schemas.openxmlformats.org/officeDocument/2006/relationships/image" Target="media/image17.png"/><Relationship Id="rId40" Type="http://schemas.openxmlformats.org/officeDocument/2006/relationships/image" Target="media/image18.png"/><Relationship Id="rId41" Type="http://schemas.openxmlformats.org/officeDocument/2006/relationships/image" Target="media/image19.png"/><Relationship Id="rId17" Type="http://schemas.openxmlformats.org/officeDocument/2006/relationships/hyperlink" Target="http://www.sec.gov/ix?doc=/Archives/edgar/data/0000787253/000143774925029731/naii20250630_10k.htm" TargetMode="External"/><Relationship Id="rId18" Type="http://schemas.openxmlformats.org/officeDocument/2006/relationships/hyperlink" Target="http://www.sec.gov/ix?doc=/Archives/edgar/data/0000787253/000143774925031627/naii20250929_def14a.htm" TargetMode="External"/><Relationship Id="rId19" Type="http://schemas.openxmlformats.org/officeDocument/2006/relationships/hyperlink" Target="http://www.sec.gov/ix?doc=/Archives/edgar/data/0000787253/000143774925034473/naii20250930_10q.htm" TargetMode="External"/><Relationship Id="rId20" Type="http://schemas.openxmlformats.org/officeDocument/2006/relationships/hyperlink" Target="http://www.sec.gov/ix?doc=/Archives/edgar/data/0000787253/000143774926004118/naii20251231_10q.htm" TargetMode="External"/><Relationship Id="rId21" Type="http://schemas.openxmlformats.org/officeDocument/2006/relationships/hyperlink" Target="http://www.sec.gov/ix?doc=/Archives/edgar/data/0000787253/000143774926017684/naii20260331_10q.htm" TargetMode="External"/><Relationship Id="rId22" Type="http://schemas.openxmlformats.org/officeDocument/2006/relationships/hyperlink" Target="http://www.sec.gov/ix?doc=/Archives/edgar/data/0000787253/000143774925021738/naii20250701_8k.htm" TargetMode="External"/><Relationship Id="rId23" Type="http://schemas.openxmlformats.org/officeDocument/2006/relationships/hyperlink" Target="http://www.sec.gov/ix?doc=/Archives/edgar/data/0000787253/000143774925023101/naii20250719_8k.htm" TargetMode="External"/><Relationship Id="rId24" Type="http://schemas.openxmlformats.org/officeDocument/2006/relationships/hyperlink" Target="http://www.sec.gov/ix?doc=/Archives/edgar/data/0000787253/000143774925037601/naii20251212_8k.htm" TargetMode="External"/><Relationship Id="rId25" Type="http://schemas.openxmlformats.org/officeDocument/2006/relationships/hyperlink" Target="http://www.sec.gov/ix?doc=/Archives/edgar/data/0000787253/000143774925038181/naii20251217_8k.htm" TargetMode="External"/><Relationship Id="rId26" Type="http://schemas.openxmlformats.org/officeDocument/2006/relationships/hyperlink" Target="http://www.sec.gov/ix?doc=/Archives/edgar/data/0000787253/000143774926009247/naii20260317_8k.htm" TargetMode="External"/><Relationship Id="rId27" Type="http://schemas.openxmlformats.org/officeDocument/2006/relationships/hyperlink" Target="http://www.sec.gov/ix?doc=/Archives/edgar/data/0000787253/000143774926014497/naii20260501_8k.htm" TargetMode="External"/><Relationship Id="rId29" Type="http://schemas.openxmlformats.org/officeDocument/2006/relationships/hyperlink" Target="http://www.sec.gov/Archives/edgar/data/787253/000119312505029203/dex3i.htm" TargetMode="External"/><Relationship Id="rId30" Type="http://schemas.openxmlformats.org/officeDocument/2006/relationships/hyperlink" Target="http://www.sec.gov/Archives/edgar/data/787253/000119312509029259/dex3ii.htm" TargetMode="External"/><Relationship Id="rId31" Type="http://schemas.openxmlformats.org/officeDocument/2006/relationships/hyperlink" Target="http://www.sec.gov/Archives/edgar/data/787253/000119312505182282/dex4i.htm" TargetMode="External"/><Relationship Id="rId32" Type="http://schemas.openxmlformats.org/officeDocument/2006/relationships/hyperlink" Target="http://www.sec.gov/ix?doc=/Archives/edgar/data/787253/000143774925031627/naii20250929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2026-05-21T15:25:31Z</dcterms:created>
  <dcterms:modified xsi:type="dcterms:W3CDTF">2026-05-21T15:25:31Z</dcterms:modified>
</cp:coreProperties>
</file>