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NATURAL ALTERNATIVES INTERNATIONAL,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 File Number: 000-15701</w:t>
            </w:r>
          </w:p>
        </w:tc>
      </w:tr>
      <w:tr>
        <w:trPr>
          <w:trHeight w:val="410"/>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8"/>
              </w:rPr>
              <w:t>84-1007839</w:t>
            </w:r>
          </w:p>
        </w:tc>
      </w:tr>
      <w:tr>
        <w:trPr>
          <w:trHeight w:val="216"/>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1535 Faraday Avenue, Carlsbad, CA 92008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760-736-7700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720" w:type="dxa"/>
            <w:vAlign w:val="bottom"/>
            <w:tcBorders>
              <w:top w:val="single" w:sz="8" w:color="auto"/>
              <w:left w:val="single" w:sz="8" w:color="auto"/>
              <w:righ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7"/>
              </w:rPr>
              <w:t>Title of</w:t>
            </w:r>
          </w:p>
        </w:tc>
        <w:tc>
          <w:tcPr>
            <w:tcW w:w="3760" w:type="dxa"/>
            <w:vAlign w:val="bottom"/>
            <w:tcBorders>
              <w:top w:val="single" w:sz="8" w:color="auto"/>
              <w:right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Trading</w:t>
            </w:r>
          </w:p>
        </w:tc>
        <w:tc>
          <w:tcPr>
            <w:tcW w:w="3760" w:type="dxa"/>
            <w:vAlign w:val="bottom"/>
            <w:tcBorders>
              <w:top w:val="single" w:sz="8" w:color="auto"/>
              <w:righ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51"/>
        </w:trPr>
        <w:tc>
          <w:tcPr>
            <w:tcW w:w="3720" w:type="dxa"/>
            <w:vAlign w:val="bottom"/>
            <w:tcBorders>
              <w:left w:val="single" w:sz="8" w:color="auto"/>
              <w:bottom w:val="single" w:sz="8" w:color="auto"/>
              <w:righ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each class</w:t>
            </w:r>
          </w:p>
        </w:tc>
        <w:tc>
          <w:tcPr>
            <w:tcW w:w="3760" w:type="dxa"/>
            <w:vAlign w:val="bottom"/>
            <w:tcBorders>
              <w:bottom w:val="single" w:sz="8" w:color="auto"/>
              <w:right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8"/>
              </w:rPr>
              <w:t>Symbol(s)</w:t>
            </w:r>
          </w:p>
        </w:tc>
        <w:tc>
          <w:tcPr>
            <w:tcW w:w="3760" w:type="dxa"/>
            <w:vAlign w:val="bottom"/>
            <w:tcBorders>
              <w:bottom w:val="single" w:sz="8" w:color="auto"/>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193"/>
        </w:trPr>
        <w:tc>
          <w:tcPr>
            <w:tcW w:w="3720" w:type="dxa"/>
            <w:vAlign w:val="bottom"/>
            <w:tcBorders>
              <w:left w:val="single" w:sz="8" w:color="auto"/>
              <w:bottom w:val="single" w:sz="8" w:color="auto"/>
              <w:right w:val="single" w:sz="8" w:color="auto"/>
            </w:tcBorders>
          </w:tcPr>
          <w:p>
            <w:pPr>
              <w:jc w:val="center"/>
              <w:ind w:left="1070"/>
              <w:spacing w:after="0" w:line="193" w:lineRule="exact"/>
              <w:rPr>
                <w:sz w:val="20"/>
                <w:szCs w:val="20"/>
                <w:color w:val="auto"/>
              </w:rPr>
            </w:pPr>
            <w:r>
              <w:rPr>
                <w:rFonts w:ascii="Times New Roman" w:cs="Times New Roman" w:eastAsia="Times New Roman" w:hAnsi="Times New Roman"/>
                <w:sz w:val="18"/>
                <w:szCs w:val="18"/>
                <w:color w:val="auto"/>
              </w:rPr>
              <w:t>Common</w:t>
            </w:r>
          </w:p>
        </w:tc>
        <w:tc>
          <w:tcPr>
            <w:tcW w:w="3760" w:type="dxa"/>
            <w:vAlign w:val="bottom"/>
            <w:tcBorders>
              <w:bottom w:val="single" w:sz="8" w:color="auto"/>
              <w:right w:val="single" w:sz="8" w:color="auto"/>
            </w:tcBorders>
          </w:tcPr>
          <w:p>
            <w:pPr>
              <w:jc w:val="center"/>
              <w:ind w:left="770"/>
              <w:spacing w:after="0" w:line="193" w:lineRule="exact"/>
              <w:rPr>
                <w:sz w:val="20"/>
                <w:szCs w:val="20"/>
                <w:color w:val="auto"/>
              </w:rPr>
            </w:pPr>
            <w:r>
              <w:rPr>
                <w:rFonts w:ascii="Times New Roman" w:cs="Times New Roman" w:eastAsia="Times New Roman" w:hAnsi="Times New Roman"/>
                <w:sz w:val="18"/>
                <w:szCs w:val="18"/>
                <w:color w:val="auto"/>
                <w:w w:val="99"/>
              </w:rPr>
              <w:t>NAII</w:t>
            </w:r>
          </w:p>
        </w:tc>
        <w:tc>
          <w:tcPr>
            <w:tcW w:w="3760" w:type="dxa"/>
            <w:vAlign w:val="bottom"/>
            <w:tcBorders>
              <w:bottom w:val="single" w:sz="8" w:color="auto"/>
              <w:right w:val="single" w:sz="8" w:color="auto"/>
            </w:tcBorders>
          </w:tcPr>
          <w:p>
            <w:pPr>
              <w:jc w:val="center"/>
              <w:ind w:left="290"/>
              <w:spacing w:after="0" w:line="193" w:lineRule="exact"/>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Amended and Restated Employment Agreement dated October 1, 2015, by and between Natural Alternatives International, Inc. and Mark A. LeDoux, the Company’s Chief Executive Officer, as most recently amended by the Second Amendment dated July 1, 2021, was amended effective May 1, 2026, (the "NAI Amendment"). The NAI Amendment reflects a decrease in base salary from $475,000 per year to $255,000 per year, and certain other reductions of Company benefits otherwise paid to all Officers. The NAI Amendment was made in connection with the CEO entering into an Employment Agreement to concurrently serve as the Managing Director of the registrant's wholly owned subsidiary Natural Alternatives International, Inc. Europe, a Swiss corporation, (the "NAIE Employment Agreement"). The NAIE Employment Agreement is also effective May 1, 2026, with a base salary of 170,000 CFH per year. The NAI Amendment was entered into with the intention the base salary and total compensation of the CEO pursuant to the NAI Amendment plus the base salary and total compensation of Mr. LeDoux pursuant to the NAIE Employment Agreement would be approximately the same subject only to variations in currency values between U.S. Dollars and Swiss Francs.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LeDoux, while continuing current duties as CEO of NAI, has agreed to serve as the Managing Director of the Swiss subsidiary in an effort to expand the combined companies worldwide revenue and provide the Company's customers with more opportunities to expand their offerings inside and outside of the U.S by increasing the capability of the registrant's Swiss operations. In connection with the NAIE Employment Agreement the CEO has committed to spend at least half his time in Switzerland. Mr. LeDoux will continue to serve as the Chairperson of the Board of Directors of both corporations.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10.69</w:t>
      </w:r>
      <w:r>
        <w:rPr>
          <w:sz w:val="20"/>
          <w:szCs w:val="20"/>
          <w:color w:val="auto"/>
        </w:rPr>
        <w:tab/>
      </w:r>
      <w:r>
        <w:rPr>
          <w:rFonts w:ascii="Times New Roman" w:cs="Times New Roman" w:eastAsia="Times New Roman" w:hAnsi="Times New Roman"/>
          <w:sz w:val="18"/>
          <w:szCs w:val="18"/>
          <w:u w:val="single" w:color="auto"/>
          <w:color w:val="0000EE"/>
        </w:rPr>
        <w:t>Third Amendment to Employment Agreement by and between NAI and Mark A. LeDoux effective May 1, 2026.</w:t>
      </w:r>
    </w:p>
    <w:p>
      <w:pPr>
        <w:spacing w:after="0" w:line="2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10.70</w:t>
      </w:r>
      <w:r>
        <w:rPr>
          <w:sz w:val="20"/>
          <w:szCs w:val="20"/>
          <w:color w:val="auto"/>
        </w:rPr>
        <w:tab/>
      </w:r>
      <w:r>
        <w:rPr>
          <w:rFonts w:ascii="Times New Roman" w:cs="Times New Roman" w:eastAsia="Times New Roman" w:hAnsi="Times New Roman"/>
          <w:sz w:val="17"/>
          <w:szCs w:val="17"/>
          <w:u w:val="single" w:color="auto"/>
          <w:color w:val="0000EE"/>
        </w:rPr>
        <w:t>Employment Agreement by and between Natural Alternatives International Europe and Mark A. LeDoux effective May 1, 2026.</w:t>
      </w:r>
    </w:p>
    <w:p>
      <w:pPr>
        <w:spacing w:after="0" w:line="2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Natural Alternatives International,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Kenneth E. Wolf, President</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20, 2026</w:t>
            </w: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Kenneth E. Wolf, President</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10.69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Third Amendment (“Amendment”) is an amendment to the Amended and Restated Employment Agreement dated effective October 1, 2015 by and between Natural Alternatives International, Inc., a Delaware corporation (“Company”), and Mark LeDoux (“Employee”), as subsequently amended September 18, 2020, and July 1, 2021, (the “NAI Employment Agreement”). This Amendment is in connection with a complimentary Employment Agreement between Employee and a wholly owned subsidiary of the Company Natural Alternatives International Europe, a Swiss corporation, ("NAIE" Agreement") whereby NAIE is employing Employee as the Managing Director of NAIE. The NAIE Agreement is effective May 1, 2026. This Amendment is made and entered into effective as of May 1, 2026. Unless otherwise defined herein, capitalized terms shall have the meanings given in the NAI Employment Agreement.</w:t>
      </w:r>
    </w:p>
    <w:p>
      <w:pPr>
        <w:spacing w:after="0" w:line="189" w:lineRule="exact"/>
        <w:rPr>
          <w:sz w:val="20"/>
          <w:szCs w:val="20"/>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b. of the NAI Employment Agreement relating to limitations on the Employee's other business activity is hereby amended only to the extent necessary (if any) to allow for the NAIE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NAIE Agreement, Section 4.a., of the NAI Employment Agreement, is changed so Employee’s base salary, is decreased to Two Hundred Fifty Five Thousand Dollars ($255,000) per year effective May 1, 2026.</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5.b. of the NAI Employment Agreement relating to termination of the Employee without cause, is hereby amended only to state Employee's severance payment shall be based on the sum of his base salary at NAI and at NAIE.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7.c. of the NAI Employment Agreement related to termination of the Employee without cause following a Change in Control, is hereby amended only to state Employee's severance payment shall be based on the sum of his base salary at NAI and at NAIE.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NAI Employment Agreement relating to competitive activity is hereby amended only to the extent necessary (if any) to allow for the NAIE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herein, all other terms and conditions of the NAI Employment Agreement shall remain in full force and effect.</w:t>
      </w: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this Amendment on March 18,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Mark A.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A. LeDoux</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Alternatives International,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Kenneth E.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Kenneth E. Wolf, President</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58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10.70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Employment Agreement</w:t>
            </w:r>
          </w:p>
        </w:tc>
      </w:tr>
      <w:tr>
        <w:trPr>
          <w:trHeight w:val="64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 March 2026</w:t>
            </w:r>
          </w:p>
        </w:tc>
      </w:tr>
      <w:tr>
        <w:trPr>
          <w:trHeight w:val="84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between</w:t>
            </w: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NAIE Natural Alternatives International Europe SA</w:t>
            </w:r>
          </w:p>
        </w:tc>
      </w:tr>
      <w:tr>
        <w:trPr>
          <w:trHeight w:val="216"/>
        </w:trPr>
        <w:tc>
          <w:tcPr>
            <w:tcW w:w="200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Centro Galleria 1, 6928 Manno</w:t>
            </w:r>
          </w:p>
        </w:tc>
      </w:tr>
      <w:tr>
        <w:trPr>
          <w:trHeight w:val="214"/>
        </w:trPr>
        <w:tc>
          <w:tcPr>
            <w:tcW w:w="200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Switzerland</w:t>
            </w:r>
          </w:p>
        </w:tc>
      </w:tr>
      <w:tr>
        <w:trPr>
          <w:trHeight w:val="236"/>
        </w:trPr>
        <w:tc>
          <w:tcPr>
            <w:tcW w:w="2000" w:type="dxa"/>
            <w:vAlign w:val="bottom"/>
          </w:tcPr>
          <w:p>
            <w:pPr>
              <w:spacing w:after="0"/>
              <w:rPr>
                <w:sz w:val="20"/>
                <w:szCs w:val="20"/>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referred to as: "Employer"</w:t>
            </w:r>
          </w:p>
        </w:tc>
      </w:tr>
      <w:tr>
        <w:trPr>
          <w:trHeight w:val="63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and</w:t>
            </w: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Mark LeDoux</w:t>
            </w:r>
          </w:p>
        </w:tc>
      </w:tr>
      <w:tr>
        <w:trPr>
          <w:trHeight w:val="216"/>
        </w:trPr>
        <w:tc>
          <w:tcPr>
            <w:tcW w:w="200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64 Dow Road, Hollis NH 03049</w:t>
            </w:r>
          </w:p>
        </w:tc>
      </w:tr>
      <w:tr>
        <w:trPr>
          <w:trHeight w:val="214"/>
        </w:trPr>
        <w:tc>
          <w:tcPr>
            <w:tcW w:w="200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Unites States of America</w:t>
            </w:r>
          </w:p>
        </w:tc>
      </w:tr>
      <w:tr>
        <w:trPr>
          <w:trHeight w:val="236"/>
        </w:trPr>
        <w:tc>
          <w:tcPr>
            <w:tcW w:w="2000" w:type="dxa"/>
            <w:vAlign w:val="bottom"/>
          </w:tcPr>
          <w:p>
            <w:pPr>
              <w:spacing w:after="0"/>
              <w:rPr>
                <w:sz w:val="20"/>
                <w:szCs w:val="20"/>
                <w:color w:val="auto"/>
              </w:rPr>
            </w:pP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referred to as: "Employee"</w:t>
            </w:r>
          </w:p>
        </w:tc>
      </w:tr>
      <w:tr>
        <w:trPr>
          <w:trHeight w:val="64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concerning</w:t>
            </w:r>
          </w:p>
        </w:tc>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Employment as Managing Director</w:t>
            </w:r>
          </w:p>
        </w:tc>
      </w:tr>
      <w:tr>
        <w:trPr>
          <w:trHeight w:val="574"/>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 Scope and Duties of Employment</w:t>
      </w:r>
    </w:p>
    <w:p>
      <w:pPr>
        <w:spacing w:after="0" w:line="229" w:lineRule="exact"/>
        <w:rPr>
          <w:rFonts w:ascii="Times New Roman" w:cs="Times New Roman" w:eastAsia="Times New Roman" w:hAnsi="Times New Roman"/>
          <w:sz w:val="18"/>
          <w:szCs w:val="18"/>
          <w:b w:val="1"/>
          <w:bCs w:val="1"/>
          <w:color w:val="auto"/>
        </w:rPr>
      </w:pPr>
    </w:p>
    <w:p>
      <w:pPr>
        <w:ind w:left="660" w:right="47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takes on the position and function of Managing Director of Employer. The normal place of work is Manno.</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Employee shall take on the duties and obligations that are usually involved with his function in accordance with the terms and conditions of this Employment Agreement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the Articles of Association of Employer, with the law and with the instructions and directives of the Board of Directors of Employer. As general directives apply, unless otherwise stated in the present Employment Agreement, the organizational regulation of Employer as well as directives and instructions of Employer and/or its parent company Natural Alternatives International, Inc. (“</w:t>
      </w:r>
      <w:r>
        <w:rPr>
          <w:rFonts w:ascii="Times New Roman" w:cs="Times New Roman" w:eastAsia="Times New Roman" w:hAnsi="Times New Roman"/>
          <w:sz w:val="18"/>
          <w:szCs w:val="18"/>
          <w:i w:val="1"/>
          <w:iCs w:val="1"/>
          <w:color w:val="auto"/>
        </w:rPr>
        <w:t>NAI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responsibilities of the Employee include in particular:</w:t>
      </w:r>
    </w:p>
    <w:p>
      <w:pPr>
        <w:spacing w:after="0" w:line="225"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and enhancing collaboration between Employer and local, regional, and international commercial partners;</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companies based outside of the United States to have their products manufactured by Employer;</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reporting to the Board of Directors of Employer with regard to potential commercial partners; and</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liaison with the Board of Directors of NAI.</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of Work, Employment Term</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made with effect as of 1 May 2026, or the day of authorization from the Swiss Migration authority if subsequent to such date.</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This Agreement is made for an indefinite period. There is no probation period. It may be terminated by either party with 3 months’ notice, as per the end of each month.</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 Bonus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Employee shall be entitled to a fixed gross salary of CHF 170’000 per year, payable after deduction of the Employee's contributions to the social insurances and pensions scheme under applicable laws and regulations, in twelve identical installments at the end of each calendar month, and an additional identical installment at the end of December. For the first year the thirteenth installment is payable </w:t>
      </w:r>
      <w:r>
        <w:rPr>
          <w:rFonts w:ascii="Times New Roman" w:cs="Times New Roman" w:eastAsia="Times New Roman" w:hAnsi="Times New Roman"/>
          <w:sz w:val="18"/>
          <w:szCs w:val="18"/>
          <w:i w:val="1"/>
          <w:iCs w:val="1"/>
          <w:color w:val="auto"/>
        </w:rPr>
        <w:t>pro rata temporis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fixed salary, Employer may pay to the Employee at the discretion of the Board of Directors a bonus if certain goals are reached.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bonus shall be payable after deduction of the Employee's contributions to the social insurances and pensions scheme under applicable laws and regulations.</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D&amp;O-Insurance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Employer will arrange insurance cover for the Employee against directors' and officers' liability arising out of his activities at a level which is customary in the industry.</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Employee shall be entitled to 25 days’ vacation per calendar year. The Employee shall determine the time of vacation in accordance with his duties.</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Employee shall treat as confidential and not disclose to others or take or use for the Employee’s own purposes or for the purposes of others, any business matters of Employer and/or NAI Group.</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matters as referred to above include manufacturing secrets, business secrets and all other facts that are relevant for the business and not known to the public and either of a confidential nature (such as addresses of employees, suppliers and customers, agreements and their terms and conditions, accounting figures and balance sheet figures, etc.) or have been indicated to the Employee as being confidential.</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confidentiality obligation will remain effective after the termination of this Agreement without limitation and irrespective of the cause of termination.</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Employee must keep in safe custody any documentation on business matters of Employer and/or NAI Group and shall surrender it to Employer upon first request, at the latest at the end of this Agreement, and without keeping any copies. Wherever copies cannot be surrendered to Employer (e.g. digital copies, data carriers or the like) such copies must be destroyed at the time of request to surrender even if destruction of copies has not been specifically requested by Employer.</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Applicable Law and Jurisdiction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oral agreements exist in addition to this Agreement. Any amendments or additions to this Agreement must be in writing.</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Should any one or more provisions of this Agreement be or become invalid, the other provisions shall not be affected. Invalid provisions shall be substituted with provisions which are most closely in line with the intended purpose.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the laws of Switzerland. Any disputes arising out of this Agreement shall be submitted to the courts at the domicile or seat of the defendant or at the place where the Employee usually carries out his work.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the following page</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56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w w:val="99"/>
              </w:rPr>
              <w:t>NAIE Natural Alternatives International Europe SA</w:t>
            </w:r>
          </w:p>
        </w:tc>
      </w:tr>
      <w:tr>
        <w:trPr>
          <w:trHeight w:val="84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3/18/2026</w:t>
            </w:r>
          </w:p>
        </w:tc>
        <w:tc>
          <w:tcPr>
            <w:tcW w:w="37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___/s/__</w:t>
            </w:r>
            <w:r>
              <w:rPr>
                <w:rFonts w:ascii="Times New Roman" w:cs="Times New Roman" w:eastAsia="Times New Roman" w:hAnsi="Times New Roman"/>
                <w:sz w:val="18"/>
                <w:szCs w:val="18"/>
                <w:i w:val="1"/>
                <w:iCs w:val="1"/>
                <w:color w:val="auto"/>
              </w:rPr>
              <w:t>Daniele Lardi___</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__/s/_</w:t>
            </w:r>
            <w:r>
              <w:rPr>
                <w:rFonts w:ascii="Times New Roman" w:cs="Times New Roman" w:eastAsia="Times New Roman" w:hAnsi="Times New Roman"/>
                <w:sz w:val="18"/>
                <w:szCs w:val="18"/>
                <w:i w:val="1"/>
                <w:iCs w:val="1"/>
                <w:color w:val="auto"/>
              </w:rPr>
              <w:t>Fausto Petrini</w:t>
            </w:r>
            <w:r>
              <w:rPr>
                <w:rFonts w:ascii="Times New Roman" w:cs="Times New Roman" w:eastAsia="Times New Roman" w:hAnsi="Times New Roman"/>
                <w:sz w:val="18"/>
                <w:szCs w:val="18"/>
                <w:color w:val="auto"/>
              </w:rPr>
              <w:t>__</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Place, Date</w:t>
            </w:r>
          </w:p>
        </w:tc>
        <w:tc>
          <w:tcPr>
            <w:tcW w:w="37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Daniele Lardi</w:t>
            </w:r>
          </w:p>
        </w:tc>
        <w:tc>
          <w:tcPr>
            <w:tcW w:w="1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Fausto Petrini</w:t>
            </w:r>
          </w:p>
        </w:tc>
      </w:tr>
      <w:tr>
        <w:trPr>
          <w:trHeight w:val="864"/>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w:t>
            </w:r>
          </w:p>
        </w:tc>
        <w:tc>
          <w:tcPr>
            <w:tcW w:w="37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84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3/18/2026</w:t>
            </w:r>
          </w:p>
        </w:tc>
        <w:tc>
          <w:tcPr>
            <w:tcW w:w="56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______/s/__</w:t>
            </w:r>
            <w:r>
              <w:rPr>
                <w:rFonts w:ascii="Times New Roman" w:cs="Times New Roman" w:eastAsia="Times New Roman" w:hAnsi="Times New Roman"/>
                <w:sz w:val="18"/>
                <w:szCs w:val="18"/>
                <w:i w:val="1"/>
                <w:iCs w:val="1"/>
                <w:color w:val="auto"/>
              </w:rPr>
              <w:t>Mark LeDoux</w:t>
            </w:r>
            <w:r>
              <w:rPr>
                <w:rFonts w:ascii="Times New Roman" w:cs="Times New Roman" w:eastAsia="Times New Roman" w:hAnsi="Times New Roman"/>
                <w:sz w:val="18"/>
                <w:szCs w:val="18"/>
                <w:color w:val="auto"/>
              </w:rPr>
              <w:t>_______</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Place, Date</w:t>
            </w:r>
          </w:p>
        </w:tc>
        <w:tc>
          <w:tcPr>
            <w:tcW w:w="3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Mark LeDoux</w:t>
            </w:r>
          </w:p>
        </w:tc>
        <w:tc>
          <w:tcPr>
            <w:tcW w:w="1920" w:type="dxa"/>
            <w:vAlign w:val="bottom"/>
          </w:tcPr>
          <w:p>
            <w:pPr>
              <w:spacing w:after="0"/>
              <w:rPr>
                <w:sz w:val="20"/>
                <w:szCs w:val="20"/>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bullet"/>
      <w:start w:val="1"/>
    </w:lvl>
    <w:lvl w:ilvl="1">
      <w:lvlJc w:val="left"/>
      <w:lvlText w:val="%2)"/>
      <w:numFmt w:val="lowerLetter"/>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6"/>
      <w:numFmt w:val="bullet"/>
      <w:start w:val="1"/>
    </w:lvl>
  </w:abstractNum>
  <w:abstractNum w:abstractNumId="8">
    <w:nsid w:val="5BD062C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2026-03-20T15:39:30Z</dcterms:created>
  <dcterms:modified xsi:type="dcterms:W3CDTF">2026-03-20T15:39:30Z</dcterms:modified>
</cp:coreProperties>
</file>