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WOLF KENNETH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NATURAL ALTERNATIVES</w:t>
              </w:r>
            </w:hyperlink>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6"/>
            <w:vMerge w:val="restart"/>
          </w:tcPr>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INTERNATIONAL INC</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NAII</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7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4"/>
                <w:szCs w:val="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gridSpan w:val="3"/>
            <w:vMerge w:val="restart"/>
          </w:tcPr>
          <w:p>
            <w:pPr>
              <w:ind w:left="360"/>
              <w:spacing w:after="0"/>
              <w:rPr>
                <w:sz w:val="20"/>
                <w:szCs w:val="20"/>
                <w:color w:val="auto"/>
              </w:rPr>
            </w:pPr>
            <w:r>
              <w:rPr>
                <w:rFonts w:ascii="Arial" w:cs="Arial" w:eastAsia="Arial" w:hAnsi="Arial"/>
                <w:sz w:val="17"/>
                <w:szCs w:val="17"/>
                <w:color w:val="0000FF"/>
                <w:w w:val="98"/>
              </w:rPr>
              <w:t>President, COO, &amp; Sec.</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1535 FARADAY AVENUE</w:t>
            </w:r>
          </w:p>
        </w:tc>
        <w:tc>
          <w:tcPr>
            <w:tcW w:w="1340" w:type="dxa"/>
            <w:vAlign w:val="bottom"/>
          </w:tcPr>
          <w:p>
            <w:pPr>
              <w:spacing w:after="0"/>
              <w:rPr>
                <w:sz w:val="9"/>
                <w:szCs w:val="9"/>
                <w:color w:val="auto"/>
              </w:rPr>
            </w:pPr>
          </w:p>
        </w:tc>
        <w:tc>
          <w:tcPr>
            <w:tcW w:w="1620" w:type="dxa"/>
            <w:vAlign w:val="bottom"/>
            <w:gridSpan w:val="6"/>
            <w:vMerge w:val="restart"/>
          </w:tcPr>
          <w:p>
            <w:pPr>
              <w:ind w:left="16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CARLSBAD</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1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03/08/2021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7,326</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15.05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104,685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a resale of shares to the Issuer as payment of the reporting person's tax liability upon vesting of 13,334 shares of restricted stock on March 7, 2021, using the closing stock price on March 8, 2021 of $15.05 per share.</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Kenneth E. Wolf</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03/10/2021</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452" TargetMode="External"/><Relationship Id="rId14" Type="http://schemas.openxmlformats.org/officeDocument/2006/relationships/hyperlink" Target="http://www.sec.gov/cgi-bin/browse-edgar?action=getcompany&amp;CIK=0000787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2021-03-10T17:51:28Z</dcterms:created>
  <dcterms:modified xsi:type="dcterms:W3CDTF">2021-03-10T17:51:28Z</dcterms:modified>
</cp:coreProperties>
</file>