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aii20250331_10q.htm"/>
      <w:bookmarkStart w:id="1" w:name="ksnaii20250331_10q"/>
      <w:bookmarkEnd w:id="0"/>
      <w:bookmarkEnd w:id="1"/>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caps w:val="false"/>
            <w:smallCaps w:val="false"/>
            <w:sz w:val="20"/>
          </w:rPr>
          <w:t>Table of Contents</w:t>
        </w:r>
      </w:hyperlink>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UNITED STATES </w:t>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SECURITIES AND EXCHANGE COMMISSION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FORM 10-Q </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230"/>
        <w:gridCol w:w="93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230"/>
        <w:gridCol w:w="933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w:t>
      </w:r>
      <w:r>
        <w:rPr>
          <w:rFonts w:ascii="Times New Roman" w:hAnsi="Times New Roman"/>
          <w:b/>
          <w:caps w:val="false"/>
          <w:smallCaps w:val="false"/>
          <w:sz w:val="20"/>
        </w:rPr>
        <w:t>to</w:t>
      </w:r>
      <w:r>
        <w:rPr>
          <w:rFonts w:ascii="Times New Roman" w:hAnsi="Times New Roman"/>
          <w:caps w:val="false"/>
          <w:smallCaps w:val="false"/>
          <w:sz w:val="20"/>
        </w:rPr>
        <w:t xml:space="preserve">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000-15701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p>
    <w:p>
      <w:pPr>
        <w:pStyle w:val="TextBody"/>
        <w:bidi w:val="0"/>
        <w:spacing w:before="0" w:after="0"/>
        <w:ind w:left="16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36"/>
        </w:rPr>
      </w:pPr>
      <w:r>
        <w:rPr>
          <w:rFonts w:ascii="Times New Roman" w:hAnsi="Times New Roman"/>
          <w:b/>
          <w:caps w:val="false"/>
          <w:smallCaps w:val="false"/>
          <w:sz w:val="36"/>
        </w:rPr>
        <w:t xml:space="preserve">NATURAL ALTERNATIVES INTERNATIONAL, INC.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tbl>
      <w:tblPr>
        <w:tblW w:w="6175" w:type="dxa"/>
        <w:jc w:val="left"/>
        <w:tblInd w:w="0" w:type="dxa"/>
        <w:tblLayout w:type="fixed"/>
        <w:tblCellMar>
          <w:top w:w="0" w:type="dxa"/>
          <w:left w:w="0" w:type="dxa"/>
          <w:bottom w:w="0" w:type="dxa"/>
          <w:right w:w="0" w:type="dxa"/>
        </w:tblCellMar>
      </w:tblPr>
      <w:tblGrid>
        <w:gridCol w:w="3290"/>
        <w:gridCol w:w="288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84-1007839</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(State of incorporation)</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(IRS Employer Identification No.)</w:t>
            </w:r>
          </w:p>
        </w:tc>
      </w:tr>
      <w:tr>
        <w:trPr/>
        <w:tc>
          <w:tcPr>
            <w:tcW w:w="329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1535 Faraday Ave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Carlsbad, CA 92008</w:t>
            </w:r>
          </w:p>
        </w:tc>
        <w:tc>
          <w:tcPr>
            <w:tcW w:w="288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(760) 736-7700</w:t>
            </w:r>
          </w:p>
        </w:tc>
      </w:tr>
      <w:tr>
        <w:trPr/>
        <w:tc>
          <w:tcPr>
            <w:tcW w:w="329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(Address of principal executive offices)</w:t>
            </w:r>
          </w:p>
        </w:tc>
        <w:tc>
          <w:tcPr>
            <w:tcW w:w="288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(Registrant</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s 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tbl>
      <w:tblPr>
        <w:tblW w:w="8685" w:type="dxa"/>
        <w:jc w:val="left"/>
        <w:tblInd w:w="0" w:type="dxa"/>
        <w:tblLayout w:type="fixed"/>
        <w:tblCellMar>
          <w:top w:w="0" w:type="dxa"/>
          <w:left w:w="0" w:type="dxa"/>
          <w:bottom w:w="28" w:type="dxa"/>
          <w:right w:w="0" w:type="dxa"/>
        </w:tblCellMar>
      </w:tblPr>
      <w:tblGrid>
        <w:gridCol w:w="3395"/>
        <w:gridCol w:w="1535"/>
        <w:gridCol w:w="3755"/>
      </w:tblGrid>
      <w:tr>
        <w:trPr/>
        <w:tc>
          <w:tcPr>
            <w:tcW w:w="339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75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NAII</w:t>
            </w:r>
          </w:p>
        </w:tc>
        <w:tc>
          <w:tcPr>
            <w:tcW w:w="375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(1) has filed all reports required to be filed by Section 13 or 15(d) of the Securities Exchange Act of 1934 during the preceding 12 months (or for such shorter period that NAI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has submitted electronically every Interactive Data File required to be submitted pursuant to Rule 405 of Regulation S-T during the preceding 12 months (or for such shorter period that NAI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large accelerated filer, an accelerated filer, a non-accelerated filer, a smaller reporting company, or an emerging growth company.</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1820"/>
        <w:gridCol w:w="230"/>
        <w:gridCol w:w="2225"/>
        <w:gridCol w:w="230"/>
        <w:gridCol w:w="2300"/>
        <w:gridCol w:w="23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NAI is a shell company (as defined in Rule 12b-2 of the Exchange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w:t>
      </w:r>
      <w:r>
        <w:rPr>
          <w:rFonts w:ascii="Times New Roman" w:hAnsi="Times New Roman"/>
          <w:caps w:val="false"/>
          <w:smallCaps w:val="false"/>
          <w:sz w:val="20"/>
          <w:shd w:fill="FFFFFF" w:val="clear"/>
        </w:rPr>
        <w:t xml:space="preserve"> May 14, 2025,</w:t>
      </w:r>
      <w:r>
        <w:rPr>
          <w:rFonts w:ascii="Times New Roman" w:hAnsi="Times New Roman"/>
          <w:caps w:val="false"/>
          <w:smallCaps w:val="false"/>
          <w:sz w:val="20"/>
        </w:rPr>
        <w:t xml:space="preserve"> 6,178,898 shares of NAI's common stock were outstanding, net of 3,326,008 treasury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16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1265"/>
        <w:gridCol w:w="7250"/>
        <w:gridCol w:w="440"/>
      </w:tblGrid>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515" w:type="dxa"/>
            <w:gridSpan w:val="2"/>
            <w:tcBorders/>
            <w:vAlign w:val="center"/>
          </w:tcPr>
          <w:p>
            <w:pPr>
              <w:pStyle w:val="TableContents"/>
              <w:bidi w:val="0"/>
              <w:spacing w:before="0" w:after="0"/>
              <w:ind w:left="0" w:right="0" w:hanging="0"/>
              <w:jc w:val="left"/>
              <w:rPr/>
            </w:pPr>
            <w:hyperlink w:anchor="specialnote">
              <w:r>
                <w:rPr>
                  <w:rStyle w:val="InternetLink"/>
                  <w:rFonts w:ascii="Times New Roman" w:hAnsi="Times New Roman"/>
                  <w:b/>
                  <w:caps w:val="false"/>
                  <w:smallCaps w:val="false"/>
                  <w:sz w:val="20"/>
                  <w:u w:val="single"/>
                </w:rPr>
                <w:t>SPECIAL NOTE ABOUT FORWARD-LOOKING STATEMENTS</w:t>
              </w:r>
            </w:hyperlink>
          </w:p>
        </w:tc>
        <w:tc>
          <w:tcPr>
            <w:tcW w:w="440" w:type="dxa"/>
            <w:tcBorders/>
            <w:vAlign w:val="center"/>
          </w:tcPr>
          <w:p>
            <w:pPr>
              <w:pStyle w:val="TableContents"/>
              <w:bidi w:val="0"/>
              <w:spacing w:before="0" w:after="0"/>
              <w:ind w:left="0" w:right="0" w:hanging="0"/>
              <w:jc w:val="right"/>
              <w:rPr/>
            </w:pPr>
            <w:hyperlink w:anchor="specialnote">
              <w:r>
                <w:rPr>
                  <w:rStyle w:val="InternetLink"/>
                  <w:rFonts w:ascii="Times New Roman" w:hAnsi="Times New Roman"/>
                  <w:caps w:val="false"/>
                  <w:smallCaps w:val="false"/>
                  <w:sz w:val="20"/>
                </w:rPr>
                <w:t>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50" w:type="dxa"/>
            <w:tcBorders/>
            <w:vAlign w:val="center"/>
          </w:tcPr>
          <w:p>
            <w:pPr>
              <w:pStyle w:val="TableContents"/>
              <w:bidi w:val="0"/>
              <w:spacing w:before="0" w:after="0"/>
              <w:ind w:left="0" w:right="0" w:hanging="0"/>
              <w:jc w:val="both"/>
              <w:rPr/>
            </w:pPr>
            <w:hyperlink w:anchor="part1">
              <w:r>
                <w:rPr>
                  <w:rStyle w:val="InternetLink"/>
                  <w:rFonts w:ascii="Times New Roman" w:hAnsi="Times New Roman"/>
                  <w:b/>
                  <w:caps w:val="false"/>
                  <w:smallCaps w:val="false"/>
                  <w:sz w:val="20"/>
                  <w:u w:val="single"/>
                </w:rPr>
                <w:t>FINANCIAL INFORMATION</w:t>
              </w:r>
            </w:hyperlink>
          </w:p>
        </w:tc>
        <w:tc>
          <w:tcPr>
            <w:tcW w:w="440" w:type="dxa"/>
            <w:tcBorders/>
            <w:vAlign w:val="center"/>
          </w:tcPr>
          <w:p>
            <w:pPr>
              <w:pStyle w:val="TableContents"/>
              <w:bidi w:val="0"/>
              <w:spacing w:before="0" w:after="283"/>
              <w:jc w:val="right"/>
              <w:rPr/>
            </w:pPr>
            <w:hyperlink w:anchor="part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1item1">
              <w:r>
                <w:rPr>
                  <w:rStyle w:val="InternetLink"/>
                  <w:rFonts w:ascii="Times New Roman" w:hAnsi="Times New Roman"/>
                  <w:caps w:val="false"/>
                  <w:smallCaps w:val="false"/>
                  <w:sz w:val="20"/>
                  <w:u w:val="single"/>
                </w:rPr>
                <w:t>Financial Statements</w:t>
              </w:r>
            </w:hyperlink>
          </w:p>
        </w:tc>
        <w:tc>
          <w:tcPr>
            <w:tcW w:w="440" w:type="dxa"/>
            <w:tcBorders/>
            <w:vAlign w:val="center"/>
          </w:tcPr>
          <w:p>
            <w:pPr>
              <w:pStyle w:val="TableContents"/>
              <w:bidi w:val="0"/>
              <w:spacing w:before="0" w:after="283"/>
              <w:jc w:val="right"/>
              <w:rPr/>
            </w:pPr>
            <w:hyperlink w:anchor="part1item1">
              <w:r>
                <w:rPr>
                  <w:rStyle w:val="InternetLink"/>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balsheet">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alsheet">
              <w:r>
                <w:rPr>
                  <w:rStyle w:val="InternetLink"/>
                  <w:rFonts w:ascii="Times New Roman" w:hAnsi="Times New Roman"/>
                  <w:caps w:val="false"/>
                  <w:smallCaps w:val="false"/>
                  <w:sz w:val="20"/>
                </w:rPr>
                <w:t>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540" w:right="0" w:hanging="100"/>
              <w:jc w:val="left"/>
              <w:rPr/>
            </w:pPr>
            <w:hyperlink w:anchor="income">
              <w:r>
                <w:rPr>
                  <w:rStyle w:val="InternetLink"/>
                  <w:rFonts w:ascii="Times New Roman" w:hAnsi="Times New Roman"/>
                  <w:caps w:val="false"/>
                  <w:smallCaps w:val="false"/>
                  <w:sz w:val="20"/>
                </w:rPr>
                <w:t>Condensed Consolidated Statements of Operations and Comprehensive Loss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3</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equity">
              <w:r>
                <w:rPr>
                  <w:rStyle w:val="InternetLink"/>
                  <w:rFonts w:ascii="Times New Roman" w:hAnsi="Times New Roman"/>
                  <w:caps w:val="false"/>
                  <w:smallCaps w:val="false"/>
                  <w:sz w:val="20"/>
                </w:rPr>
                <w:t>Condensed Consolidated Statements of Stockholders’ Equity</w:t>
              </w:r>
            </w:hyperlink>
          </w:p>
          <w:p>
            <w:pPr>
              <w:pStyle w:val="TableContents"/>
              <w:bidi w:val="0"/>
              <w:spacing w:before="0" w:after="0"/>
              <w:jc w:val="left"/>
              <w:rPr/>
            </w:pPr>
            <w:r>
              <w:rPr/>
              <w:t xml:space="preserve">  </w:t>
            </w:r>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4</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cashflow">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6</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ind w:left="0" w:right="0" w:firstLine="44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item2">
              <w:r>
                <w:rPr>
                  <w:rStyle w:val="InternetLink"/>
                  <w:rFonts w:ascii="Times New Roman" w:hAnsi="Times New Roman"/>
                  <w:caps w:val="false"/>
                  <w:smallCaps w:val="false"/>
                  <w:sz w:val="20"/>
                </w:rPr>
                <w:t>17</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50"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u w:val="single"/>
                </w:rPr>
                <w:t>Controls and Procedures</w:t>
              </w:r>
            </w:hyperlink>
          </w:p>
        </w:tc>
        <w:tc>
          <w:tcPr>
            <w:tcW w:w="44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20</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5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b/>
                  <w:caps w:val="false"/>
                  <w:smallCaps w:val="false"/>
                  <w:sz w:val="20"/>
                  <w:u w:val="single"/>
                </w:rPr>
                <w:t>OTHER INFORMATION</w:t>
              </w:r>
            </w:hyperlink>
          </w:p>
        </w:tc>
        <w:tc>
          <w:tcPr>
            <w:tcW w:w="440" w:type="dxa"/>
            <w:tcBorders/>
            <w:vAlign w:val="center"/>
          </w:tcPr>
          <w:p>
            <w:pPr>
              <w:pStyle w:val="TableContents"/>
              <w:bidi w:val="0"/>
              <w:spacing w:before="0" w:after="283"/>
              <w:jc w:val="right"/>
              <w:rPr/>
            </w:pPr>
            <w:hyperlink w:anchor="part2">
              <w:r>
                <w:rPr>
                  <w:rStyle w:val="InternetLink"/>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50" w:type="dxa"/>
            <w:tcBorders/>
            <w:vAlign w:val="center"/>
          </w:tcPr>
          <w:p>
            <w:pPr>
              <w:pStyle w:val="TableContents"/>
              <w:bidi w:val="0"/>
              <w:spacing w:before="0" w:after="0"/>
              <w:ind w:left="0" w:right="0" w:hanging="0"/>
              <w:jc w:val="left"/>
              <w:rPr/>
            </w:pPr>
            <w:hyperlink w:anchor="part2item1">
              <w:r>
                <w:rPr>
                  <w:rStyle w:val="InternetLink"/>
                  <w:rFonts w:ascii="Times New Roman" w:hAnsi="Times New Roman"/>
                  <w:caps w:val="false"/>
                  <w:smallCaps w:val="false"/>
                  <w:sz w:val="20"/>
                  <w:u w:val="single"/>
                </w:rPr>
                <w:t>Legal Proceedings</w:t>
              </w:r>
            </w:hyperlink>
          </w:p>
        </w:tc>
        <w:tc>
          <w:tcPr>
            <w:tcW w:w="440" w:type="dxa"/>
            <w:tcBorders/>
            <w:vAlign w:val="center"/>
          </w:tcPr>
          <w:p>
            <w:pPr>
              <w:pStyle w:val="TableContents"/>
              <w:bidi w:val="0"/>
              <w:spacing w:before="0" w:after="0"/>
              <w:ind w:left="0" w:right="0" w:hanging="0"/>
              <w:jc w:val="right"/>
              <w:rPr/>
            </w:pPr>
            <w:hyperlink w:anchor="part2item1">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50" w:type="dxa"/>
            <w:tcBorders/>
            <w:vAlign w:val="center"/>
          </w:tcPr>
          <w:p>
            <w:pPr>
              <w:pStyle w:val="TableContents"/>
              <w:bidi w:val="0"/>
              <w:spacing w:before="0" w:after="0"/>
              <w:ind w:left="0" w:right="0" w:hanging="0"/>
              <w:jc w:val="left"/>
              <w:rPr/>
            </w:pPr>
            <w:hyperlink w:anchor="part2item1a">
              <w:r>
                <w:rPr>
                  <w:rStyle w:val="InternetLink"/>
                  <w:rFonts w:ascii="Times New Roman" w:hAnsi="Times New Roman"/>
                  <w:caps w:val="false"/>
                  <w:smallCaps w:val="false"/>
                  <w:sz w:val="20"/>
                  <w:u w:val="single"/>
                </w:rPr>
                <w:t>Risk Factors</w:t>
              </w:r>
            </w:hyperlink>
          </w:p>
        </w:tc>
        <w:tc>
          <w:tcPr>
            <w:tcW w:w="440" w:type="dxa"/>
            <w:tcBorders/>
            <w:vAlign w:val="center"/>
          </w:tcPr>
          <w:p>
            <w:pPr>
              <w:pStyle w:val="TableContents"/>
              <w:bidi w:val="0"/>
              <w:spacing w:before="0" w:after="0"/>
              <w:ind w:left="0" w:right="0" w:hanging="0"/>
              <w:jc w:val="right"/>
              <w:rPr/>
            </w:pPr>
            <w:hyperlink w:anchor="part2item1a">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50" w:type="dxa"/>
            <w:tcBorders/>
            <w:vAlign w:val="center"/>
          </w:tcPr>
          <w:p>
            <w:pPr>
              <w:pStyle w:val="TableContents"/>
              <w:bidi w:val="0"/>
              <w:spacing w:before="0" w:after="0"/>
              <w:ind w:left="0" w:right="0" w:hanging="0"/>
              <w:jc w:val="left"/>
              <w:rPr/>
            </w:pPr>
            <w:hyperlink w:anchor="part2item2">
              <w:r>
                <w:rPr>
                  <w:rStyle w:val="InternetLink"/>
                  <w:rFonts w:ascii="Times New Roman" w:hAnsi="Times New Roman"/>
                  <w:caps w:val="false"/>
                  <w:smallCaps w:val="false"/>
                  <w:sz w:val="20"/>
                  <w:u w:val="single"/>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part2item2">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50" w:type="dxa"/>
            <w:tcBorders/>
            <w:vAlign w:val="center"/>
          </w:tcPr>
          <w:p>
            <w:pPr>
              <w:pStyle w:val="TableContents"/>
              <w:bidi w:val="0"/>
              <w:spacing w:before="0" w:after="0"/>
              <w:ind w:left="0" w:right="0" w:hanging="0"/>
              <w:jc w:val="left"/>
              <w:rPr/>
            </w:pPr>
            <w:hyperlink w:anchor="part2item3">
              <w:r>
                <w:rPr>
                  <w:rStyle w:val="InternetLink"/>
                  <w:rFonts w:ascii="Times New Roman" w:hAnsi="Times New Roman"/>
                  <w:caps w:val="false"/>
                  <w:smallCaps w:val="false"/>
                  <w:sz w:val="20"/>
                  <w:u w:val="single"/>
                </w:rPr>
                <w:t>Defaults Upon Senior Securities</w:t>
              </w:r>
            </w:hyperlink>
          </w:p>
        </w:tc>
        <w:tc>
          <w:tcPr>
            <w:tcW w:w="440" w:type="dxa"/>
            <w:tcBorders/>
            <w:vAlign w:val="center"/>
          </w:tcPr>
          <w:p>
            <w:pPr>
              <w:pStyle w:val="TableContents"/>
              <w:bidi w:val="0"/>
              <w:spacing w:before="0" w:after="0"/>
              <w:ind w:left="0" w:right="0" w:hanging="0"/>
              <w:jc w:val="right"/>
              <w:rPr/>
            </w:pPr>
            <w:hyperlink w:anchor="part2item3">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50" w:type="dxa"/>
            <w:tcBorders/>
            <w:vAlign w:val="center"/>
          </w:tcPr>
          <w:p>
            <w:pPr>
              <w:pStyle w:val="TableContents"/>
              <w:bidi w:val="0"/>
              <w:spacing w:before="0" w:after="0"/>
              <w:ind w:left="0" w:right="0" w:hanging="0"/>
              <w:jc w:val="left"/>
              <w:rPr/>
            </w:pPr>
            <w:hyperlink w:anchor="part2item5">
              <w:r>
                <w:rPr>
                  <w:rStyle w:val="InternetLink"/>
                  <w:rFonts w:ascii="Times New Roman" w:hAnsi="Times New Roman"/>
                  <w:caps w:val="false"/>
                  <w:smallCaps w:val="false"/>
                  <w:sz w:val="20"/>
                  <w:u w:val="single"/>
                </w:rPr>
                <w:t>Other Information</w:t>
              </w:r>
            </w:hyperlink>
          </w:p>
        </w:tc>
        <w:tc>
          <w:tcPr>
            <w:tcW w:w="440" w:type="dxa"/>
            <w:tcBorders/>
            <w:vAlign w:val="center"/>
          </w:tcPr>
          <w:p>
            <w:pPr>
              <w:pStyle w:val="TableContents"/>
              <w:bidi w:val="0"/>
              <w:spacing w:before="0" w:after="0"/>
              <w:ind w:left="0" w:right="0" w:hanging="0"/>
              <w:jc w:val="right"/>
              <w:rPr/>
            </w:pPr>
            <w:hyperlink w:anchor="part2item5">
              <w:r>
                <w:rPr>
                  <w:rStyle w:val="InternetLink"/>
                  <w:rFonts w:ascii="Times New Roman" w:hAnsi="Times New Roman"/>
                  <w:caps w:val="false"/>
                  <w:smallCaps w:val="false"/>
                  <w:sz w:val="20"/>
                </w:rPr>
                <w:t>21</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50" w:type="dxa"/>
            <w:tcBorders/>
            <w:vAlign w:val="center"/>
          </w:tcPr>
          <w:p>
            <w:pPr>
              <w:pStyle w:val="TableContents"/>
              <w:bidi w:val="0"/>
              <w:spacing w:before="0" w:after="0"/>
              <w:ind w:left="0" w:right="0" w:hanging="0"/>
              <w:jc w:val="left"/>
              <w:rPr/>
            </w:pPr>
            <w:hyperlink w:anchor="part2item6">
              <w:r>
                <w:rPr>
                  <w:rStyle w:val="InternetLink"/>
                  <w:rFonts w:ascii="Times New Roman" w:hAnsi="Times New Roman"/>
                  <w:caps w:val="false"/>
                  <w:smallCaps w:val="false"/>
                  <w:sz w:val="20"/>
                  <w:u w:val="single"/>
                </w:rPr>
                <w:t>Exhibits</w:t>
              </w:r>
            </w:hyperlink>
          </w:p>
        </w:tc>
        <w:tc>
          <w:tcPr>
            <w:tcW w:w="440" w:type="dxa"/>
            <w:tcBorders/>
            <w:vAlign w:val="center"/>
          </w:tcPr>
          <w:p>
            <w:pPr>
              <w:pStyle w:val="TableContents"/>
              <w:bidi w:val="0"/>
              <w:spacing w:before="0" w:after="0"/>
              <w:ind w:left="0" w:right="0" w:hanging="0"/>
              <w:jc w:val="right"/>
              <w:rPr/>
            </w:pPr>
            <w:hyperlink w:anchor="part2item6">
              <w:r>
                <w:rPr>
                  <w:rStyle w:val="InternetLink"/>
                  <w:rFonts w:ascii="Times New Roman" w:hAnsi="Times New Roman"/>
                  <w:caps w:val="false"/>
                  <w:smallCaps w:val="false"/>
                  <w:sz w:val="20"/>
                </w:rPr>
                <w:t>22</w:t>
              </w:r>
            </w:hyperlink>
          </w:p>
        </w:tc>
      </w:tr>
      <w:tr>
        <w:trPr/>
        <w:tc>
          <w:tcPr>
            <w:tcW w:w="1265"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0"/>
              <w:ind w:left="0" w:right="0" w:hanging="0"/>
              <w:jc w:val="both"/>
              <w:rPr/>
            </w:pPr>
            <w:hyperlink w:anchor="signatures">
              <w:r>
                <w:rPr>
                  <w:rStyle w:val="InternetLink"/>
                  <w:rFonts w:ascii="Times New Roman" w:hAnsi="Times New Roman"/>
                  <w:b/>
                  <w:caps w:val="false"/>
                  <w:smallCaps w:val="false"/>
                  <w:sz w:val="20"/>
                  <w:u w:val="single"/>
                </w:rPr>
                <w:t>SIGNATURES</w:t>
              </w:r>
            </w:hyperlink>
          </w:p>
        </w:tc>
        <w:tc>
          <w:tcPr>
            <w:tcW w:w="725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23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300" w:right="0" w:hanging="0"/>
        <w:jc w:val="center"/>
        <w:rPr>
          <w:rFonts w:ascii="Times New Roman" w:hAnsi="Times New Roman"/>
          <w:b/>
          <w:caps w:val="false"/>
          <w:smallCaps w:val="false"/>
          <w:sz w:val="20"/>
        </w:rPr>
      </w:pPr>
      <w:bookmarkStart w:id="3" w:name="specialnote"/>
      <w:bookmarkEnd w:id="3"/>
      <w:r>
        <w:rPr>
          <w:rFonts w:ascii="Times New Roman" w:hAnsi="Times New Roman"/>
          <w:b/>
          <w:caps w:val="false"/>
          <w:smallCaps w:val="false"/>
          <w:sz w:val="20"/>
        </w:rPr>
        <w:t xml:space="preserve">SPECIAL NOTE ABOUT 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statements in this report, including information incorporated by reference, are “forward-looking statements” within the meaning of Section 27A of the Securities Act of 1933, Section 21E of the Securities Exchange Act of 1934, and the Private Securities Litigation Reform Act of 1995. Forward-looking statements reflect current views about future events and financial performance based on certain assumptions. They include opinions, forecasts, intentions, plans, goals, projections, guidance, expectations, beliefs, or other statements that are not statements of historical fact. Words such as “may,” “will,” “should,” “could,” “would,” “expect,” “plan,” “believe,” “anticipate,” “intend,” “estimate,” “approximate,” “predict,” “forecast,” “project,” “future,” or “likely,” or the negative or other variation of such words, and similar expressions may identify a statement as a forward-looking statement. Any statements that refer to projections of our future financial performance, our anticipated growth and trends in our business, our goals, strategies, focus and plans, and other characterizations of future events or circumstances, including statements expressing general optimism or pessimism about future operating results, are forward-looking statements. Forward-looking statements in this report may include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develop market acceptance for and increase sales of new products, develop relationships with new customers and maintain or improve existing customer relationships;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financial and operating results, including projections of net sales, revenue, income or loss, net income or loss per share, profit margins, expenditures, liquidity, and other financial items;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sufficiency of our available cash and cash equivalents, including continued access to borrowings under our credit facilities, and potential cash flows from our operations to fund our working capital and capital expenditure needs through the next 12 months and longer;</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adequacy and intended use of our facilities;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customer orders and the timing thereof;</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price our products to achieve profit margin targets, especially in the current volatile raw material environment and potential for new tariffs;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maintain or increase our patent and trademark licensing revenues;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improve operating efficiencies, manage costs and business risks, and improve or maintain profitability;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sources, availability and quality of raw materials, including the limited number of suppliers of beta-alanine meeting our quality requirements;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levels, including the adequacy of quality raw material and other inventory levels to meet future customer demand;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protect our intellectual property;</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future economic and political conditions;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currency exchange rates and their effect on our results of operations (including amounts that we may reclassify as earnings), the availability of foreign exchange facilities, our ability to effectively hedge against foreign exchange risks and the extent to which we may seek to hedge against such risks;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outcome of litigation, regulatory and tax matters we are or may become involved in, the costs associated with such matters and the effect of such matters on our business and results of operations;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manufacturing and distribution channels, product returns, and potential product recalls;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external factors on our business and results of operations, especially, for example, variations in quarterly net sales from seasonal and other external factors;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operate within the standards set by the U.S. Food and Drug Administration’s (FDA) Good Manufacturing Practices (GMPs);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adequacy of our financial reserves and allowances;</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accounting pronouncements and our adoption of certain accounting guidance; and</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assumptions described in this Report underlying or relating to any forward-looking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Forward-looking statements in this Report speak only as of the date of this Report based on information available to us at that time and caution should be taken not to place undue reliance on any such forward-looking statements. Forward-looking statements are subject to certain future events, risks, and uncertainties that are or may be outside of our control. When considering forward-looking statements, you should carefully review the risks, uncertainties and other cautionary statements in this Report as they identify certain important factors that could cause actual results to differ materially from those expressed in, or implied by, the forward-looking statements. These factors include, among others, the risks described under Item 1A of Part I of our fiscal 2024 Annual Report on Form 10-K, as well as in other reports and documents we have filed and will file with the United States Securities and Exchange Commission (SEC).</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sz w:val="20"/>
        </w:rPr>
      </w:pPr>
      <w:bookmarkStart w:id="4" w:name="part1"/>
      <w:bookmarkEnd w:id="4"/>
      <w:r>
        <w:rPr>
          <w:rFonts w:ascii="Times New Roman;Times;serif" w:hAnsi="Times New Roman;Times;serif"/>
          <w:b/>
          <w:sz w:val="20"/>
        </w:rPr>
        <w:t xml:space="preserve">PART I </w:t>
      </w:r>
      <w:r>
        <w:rPr>
          <w:rFonts w:ascii="Times New Roman;Times;serif" w:hAnsi="Times New Roman;Times;serif"/>
          <w:sz w:val="20"/>
        </w:rPr>
        <w:t xml:space="preserve">– </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bookmarkStart w:id="5" w:name="part1item1"/>
      <w:bookmarkEnd w:id="5"/>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6" w:name="balsheet"/>
      <w:bookmarkEnd w:id="6"/>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Balance Sheets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68"/>
        <w:gridCol w:w="60"/>
        <w:gridCol w:w="158"/>
        <w:gridCol w:w="881"/>
        <w:gridCol w:w="120"/>
        <w:gridCol w:w="60"/>
        <w:gridCol w:w="148"/>
        <w:gridCol w:w="827"/>
        <w:gridCol w:w="83"/>
      </w:tblGrid>
      <w:tr>
        <w:trPr/>
        <w:tc>
          <w:tcPr>
            <w:tcW w:w="7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11,981</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receivable – less allowance for credit losses of $0 at March 31, 2025 and June 30, 2024</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11,650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26,991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24,249</w:t>
            </w:r>
          </w:p>
        </w:tc>
        <w:tc>
          <w:tcPr>
            <w:tcW w:w="8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Income tax receivable</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1,355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Prepaids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7,712</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58,519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61,610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50,564</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52,211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41,682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43,537</w:t>
            </w:r>
          </w:p>
        </w:tc>
        <w:tc>
          <w:tcPr>
            <w:tcW w:w="83" w:type="dxa"/>
            <w:tcBorders/>
            <w:shd w:fill="CCEEFF" w:val="clear"/>
            <w:vAlign w:val="center"/>
          </w:tcPr>
          <w:p>
            <w:pPr>
              <w:pStyle w:val="TableContents"/>
              <w:bidi w:val="0"/>
              <w:spacing w:before="0" w:after="283"/>
              <w:jc w:val="left"/>
              <w:rPr/>
            </w:pPr>
            <w:r>
              <w:rPr/>
              <w:t> </w:t>
            </w:r>
          </w:p>
        </w:tc>
      </w:tr>
      <w:tr>
        <w:trPr/>
        <w:tc>
          <w:tcPr>
            <w:tcW w:w="786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Deferred tax asset – noncurrent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3,236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3,170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Other noncurrent assets, net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154,944</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162,342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12,740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2,188</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2,409</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Customer deposits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83" w:type="dxa"/>
            <w:tcBorders/>
            <w:shd w:fill="FFFFFF" w:val="clear"/>
            <w:vAlign w:val="center"/>
          </w:tcPr>
          <w:p>
            <w:pPr>
              <w:pStyle w:val="TableContents"/>
              <w:bidi w:val="0"/>
              <w:spacing w:before="0" w:after="283"/>
              <w:jc w:val="left"/>
              <w:rPr/>
            </w:pPr>
            <w:r>
              <w:rPr/>
              <w:t> </w:t>
            </w:r>
          </w:p>
        </w:tc>
      </w:tr>
      <w:tr>
        <w:trPr/>
        <w:tc>
          <w:tcPr>
            <w:tcW w:w="7868"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Short-term liability – operating leases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2,020</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Line of credit – current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12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868"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23,313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23,465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liability – operating leases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45,405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46,468</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Long-term pension liability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Mortgage note payable, net of current portion</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8,704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Income taxes payable, noncurrent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78,325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79,747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Commitments and contingencies (Notes E, F, and 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 shares authorized; none issued or outstanding</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Common stock; $.01 par value; 20,000,000 shares authorized at March 31, 2025 and June 30, 2024, issued and outstanding (net of treasury shares) 6,178,898 at March 31, 2025 and 6,200,185 at June 30, 2024</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33,432</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32,634</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66,607</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8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72,966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868" w:type="dxa"/>
            <w:tcBorders/>
            <w:shd w:fill="FFFF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Treasury stock, at cost, 3,326,008 shares at March 31, 2025 and 3,280,721 at June 30, 2024</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(23,252</w:t>
            </w:r>
          </w:p>
        </w:tc>
        <w:tc>
          <w:tcPr>
            <w:tcW w:w="12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8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(23,076</w:t>
            </w:r>
          </w:p>
        </w:tc>
        <w:tc>
          <w:tcPr>
            <w:tcW w:w="8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68"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12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7868" w:type="dxa"/>
            <w:tcBorders/>
            <w:shd w:fill="FFFF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76,619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82,595</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7868" w:type="dxa"/>
            <w:tcBorders/>
            <w:shd w:fill="CCEEFF" w:val="clear"/>
            <w:vAlign w:val="center"/>
          </w:tcPr>
          <w:p>
            <w:pPr>
              <w:pStyle w:val="TableContents"/>
              <w:bidi w:val="0"/>
              <w:spacing w:before="0" w:after="0"/>
              <w:ind w:left="900" w:right="0" w:hanging="18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154,944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162,342</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7" w:name="income"/>
      <w:bookmarkEnd w:id="7"/>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Operations and Comprehensive Loss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65"/>
        <w:gridCol w:w="60"/>
        <w:gridCol w:w="125"/>
        <w:gridCol w:w="845"/>
        <w:gridCol w:w="80"/>
        <w:gridCol w:w="60"/>
        <w:gridCol w:w="125"/>
        <w:gridCol w:w="845"/>
        <w:gridCol w:w="80"/>
        <w:gridCol w:w="60"/>
        <w:gridCol w:w="125"/>
        <w:gridCol w:w="845"/>
        <w:gridCol w:w="80"/>
        <w:gridCol w:w="60"/>
        <w:gridCol w:w="125"/>
        <w:gridCol w:w="845"/>
        <w:gridCol w:w="80"/>
      </w:tblGrid>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84,307</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78,861</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5,446</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gain resulting from change in fair value of derivative instruments, net of tax</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5,942,691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5,867,528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5,855,930</w:t>
            </w:r>
          </w:p>
        </w:tc>
        <w:tc>
          <w:tcPr>
            <w:tcW w:w="8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5,942,691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5,867,528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5,927,608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5,855,930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Three-Month Periods Ended March 31, 2025 and 2024</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0"/>
        <w:gridCol w:w="60"/>
        <w:gridCol w:w="60"/>
        <w:gridCol w:w="740"/>
        <w:gridCol w:w="60"/>
        <w:gridCol w:w="60"/>
        <w:gridCol w:w="184"/>
        <w:gridCol w:w="436"/>
        <w:gridCol w:w="60"/>
        <w:gridCol w:w="60"/>
        <w:gridCol w:w="138"/>
        <w:gridCol w:w="647"/>
        <w:gridCol w:w="80"/>
        <w:gridCol w:w="60"/>
        <w:gridCol w:w="127"/>
        <w:gridCol w:w="598"/>
        <w:gridCol w:w="80"/>
        <w:gridCol w:w="60"/>
        <w:gridCol w:w="60"/>
        <w:gridCol w:w="740"/>
        <w:gridCol w:w="60"/>
        <w:gridCol w:w="60"/>
        <w:gridCol w:w="110"/>
        <w:gridCol w:w="575"/>
        <w:gridCol w:w="80"/>
        <w:gridCol w:w="60"/>
        <w:gridCol w:w="276"/>
        <w:gridCol w:w="884"/>
        <w:gridCol w:w="80"/>
        <w:gridCol w:w="60"/>
        <w:gridCol w:w="110"/>
        <w:gridCol w:w="515"/>
        <w:gridCol w:w="95"/>
      </w:tblGrid>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3,282,128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79,141</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245</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minimum pension liability,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43,880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(168</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30" w:type="dxa"/>
            <w:tcBorders/>
            <w:shd w:fill="FFFFFF" w:val="clear"/>
            <w:vAlign w:val="center"/>
          </w:tcPr>
          <w:p>
            <w:pPr>
              <w:pStyle w:val="TableContents"/>
              <w:bidi w:val="0"/>
              <w:spacing w:before="0" w:after="0"/>
              <w:ind w:left="180" w:right="0" w:hanging="180"/>
              <w:jc w:val="left"/>
              <w:rPr>
                <w:rFonts w:ascii="Times New Roman;Times;serif" w:hAnsi="Times New Roman;Times;serif"/>
                <w:sz w:val="18"/>
              </w:rPr>
            </w:pPr>
            <w:r>
              <w:rPr>
                <w:rFonts w:ascii="Times New Roman;Times;serif" w:hAnsi="Times New Roman;Times;serif"/>
                <w:sz w:val="18"/>
              </w:rPr>
              <w:t>Unrealized loss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(414</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(2,186</w:t>
            </w:r>
          </w:p>
        </w:tc>
        <w:tc>
          <w:tcPr>
            <w:tcW w:w="9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March 31,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33,432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3,326,008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(23,252</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76,619</w:t>
            </w:r>
          </w:p>
        </w:tc>
        <w:tc>
          <w:tcPr>
            <w:tcW w:w="95" w:type="dxa"/>
            <w:tcBorders/>
            <w:shd w:fill="FFFFFF" w:val="clear"/>
            <w:vAlign w:val="center"/>
          </w:tcPr>
          <w:p>
            <w:pPr>
              <w:pStyle w:val="TableContents"/>
              <w:bidi w:val="0"/>
              <w:spacing w:before="0" w:after="0"/>
              <w:jc w:val="left"/>
              <w:rPr/>
            </w:pPr>
            <w:r>
              <w:rPr/>
              <w:t> </w:t>
            </w:r>
          </w:p>
        </w:tc>
      </w:tr>
      <w:tr>
        <w:trPr/>
        <w:tc>
          <w:tcPr>
            <w:tcW w:w="2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9,329,406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32,043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3,240,593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85,455</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315</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w:t>
            </w:r>
          </w:p>
        </w:tc>
        <w:tc>
          <w:tcPr>
            <w:tcW w:w="9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119</w:t>
            </w:r>
          </w:p>
        </w:tc>
        <w:tc>
          <w:tcPr>
            <w:tcW w:w="95"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(1,578</w:t>
            </w:r>
          </w:p>
        </w:tc>
        <w:tc>
          <w:tcPr>
            <w:tcW w:w="9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3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84,099</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320" w:right="0" w:hanging="0"/>
        <w:jc w:val="center"/>
        <w:rPr>
          <w:rFonts w:ascii="Times New Roman" w:hAnsi="Times New Roman"/>
          <w:b/>
          <w:caps w:val="false"/>
          <w:smallCaps w:val="false"/>
          <w:sz w:val="20"/>
        </w:rPr>
      </w:pPr>
      <w:r>
        <w:rPr>
          <w:rFonts w:ascii="Times New Roman" w:hAnsi="Times New Roman"/>
          <w:b/>
          <w:caps w:val="false"/>
          <w:smallCaps w:val="false"/>
          <w:sz w:val="20"/>
        </w:rPr>
        <w:t>Natural Alternatives International, Inc.</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Stockholders’ Equity</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Nine-Month Periods Ended March 31, 2025 and 2024</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w:t>
      </w:r>
    </w:p>
    <w:p>
      <w:pPr>
        <w:pStyle w:val="TextBody"/>
        <w:bidi w:val="0"/>
        <w:spacing w:before="0" w:after="0"/>
        <w:ind w:left="32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45"/>
        <w:gridCol w:w="60"/>
        <w:gridCol w:w="60"/>
        <w:gridCol w:w="740"/>
        <w:gridCol w:w="60"/>
        <w:gridCol w:w="60"/>
        <w:gridCol w:w="184"/>
        <w:gridCol w:w="436"/>
        <w:gridCol w:w="60"/>
        <w:gridCol w:w="60"/>
        <w:gridCol w:w="138"/>
        <w:gridCol w:w="647"/>
        <w:gridCol w:w="80"/>
        <w:gridCol w:w="60"/>
        <w:gridCol w:w="127"/>
        <w:gridCol w:w="598"/>
        <w:gridCol w:w="80"/>
        <w:gridCol w:w="60"/>
        <w:gridCol w:w="60"/>
        <w:gridCol w:w="740"/>
        <w:gridCol w:w="60"/>
        <w:gridCol w:w="60"/>
        <w:gridCol w:w="110"/>
        <w:gridCol w:w="575"/>
        <w:gridCol w:w="80"/>
        <w:gridCol w:w="60"/>
        <w:gridCol w:w="276"/>
        <w:gridCol w:w="884"/>
        <w:gridCol w:w="80"/>
        <w:gridCol w:w="60"/>
        <w:gridCol w:w="110"/>
        <w:gridCol w:w="515"/>
        <w:gridCol w:w="8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Treasury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Total</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9,480,906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82,595</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798</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Issuance of common stock for restricted stock grants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(6,359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9,504,906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66,607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3,326,008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(23,252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76,619</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9,314,406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31,436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80,183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3,240,593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(22,855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88,772</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Compensation expense related to stock compensation plans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922</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common stock for restricted stock grants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 in minimum pension liability,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36,444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(217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Forfeiture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Unrealized loss resulting from change in fair value of derivative instruments,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March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9,480,906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74,840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3,280,037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84,099</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160" w:right="0" w:hanging="0"/>
        <w:jc w:val="center"/>
        <w:rPr>
          <w:rFonts w:ascii="Times New Roman" w:hAnsi="Times New Roman"/>
          <w:b/>
          <w:caps w:val="false"/>
          <w:smallCaps w:val="false"/>
          <w:sz w:val="20"/>
        </w:rPr>
      </w:pPr>
      <w:bookmarkStart w:id="9" w:name="cashflow"/>
      <w:bookmarkEnd w:id="9"/>
      <w:r>
        <w:rPr>
          <w:rFonts w:ascii="Times New Roman" w:hAnsi="Times New Roman"/>
          <w:b/>
          <w:caps w:val="false"/>
          <w:smallCaps w:val="false"/>
          <w:sz w:val="20"/>
        </w:rPr>
        <w:t xml:space="preserve">Natural Alternatives International, Inc.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Condensed Consolidated Statements of Cash Flows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8141" w:type="dxa"/>
        <w:jc w:val="left"/>
        <w:tblInd w:w="0" w:type="dxa"/>
        <w:tblLayout w:type="fixed"/>
        <w:tblCellMar>
          <w:top w:w="0" w:type="dxa"/>
          <w:left w:w="0" w:type="dxa"/>
          <w:bottom w:w="0" w:type="dxa"/>
          <w:right w:w="0" w:type="dxa"/>
        </w:tblCellMar>
      </w:tblPr>
      <w:tblGrid>
        <w:gridCol w:w="6335"/>
        <w:gridCol w:w="60"/>
        <w:gridCol w:w="132"/>
        <w:gridCol w:w="627"/>
        <w:gridCol w:w="85"/>
        <w:gridCol w:w="63"/>
        <w:gridCol w:w="132"/>
        <w:gridCol w:w="627"/>
        <w:gridCol w:w="80"/>
      </w:tblGrid>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(6,359</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3,439</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Non-cash lease expense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4,616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4,007</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Pension expense, net of contributions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Loss on disposal of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5,241</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(4,199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(2,742</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8,623</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Prepaids and other assets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1,079</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1,014</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Forward contracts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755</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employee benefits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(2,998</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2,587</w:t>
            </w:r>
          </w:p>
        </w:tc>
        <w:tc>
          <w:tcPr>
            <w:tcW w:w="85"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1,220</w:t>
            </w:r>
          </w:p>
        </w:tc>
        <w:tc>
          <w:tcPr>
            <w:tcW w:w="80" w:type="dxa"/>
            <w:tcBorders/>
            <w:shd w:fill="FFFFFF" w:val="clear"/>
            <w:vAlign w:val="center"/>
          </w:tcPr>
          <w:p>
            <w:pPr>
              <w:pStyle w:val="TableContents"/>
              <w:bidi w:val="0"/>
              <w:spacing w:before="0" w:after="0"/>
              <w:jc w:val="left"/>
              <w:rPr/>
            </w:pPr>
            <w:r>
              <w:rPr/>
              <w:t> </w:t>
            </w:r>
          </w:p>
        </w:tc>
      </w:tr>
      <w:tr>
        <w:trPr/>
        <w:tc>
          <w:tcPr>
            <w:tcW w:w="6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Borrowings on line of credit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(1,400</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on long-term debt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w:t>
            </w:r>
          </w:p>
        </w:tc>
        <w:tc>
          <w:tcPr>
            <w:tcW w:w="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(1,798</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8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(1,370</w:t>
            </w:r>
          </w:p>
        </w:tc>
        <w:tc>
          <w:tcPr>
            <w:tcW w:w="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(1,197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11,981</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13,604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10,611</w:t>
            </w:r>
          </w:p>
        </w:tc>
        <w:tc>
          <w:tcPr>
            <w:tcW w:w="85"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12,407</w:t>
            </w:r>
          </w:p>
        </w:tc>
        <w:tc>
          <w:tcPr>
            <w:tcW w:w="80" w:type="dxa"/>
            <w:tcBorders/>
            <w:shd w:fill="FFFFFF" w:val="clear"/>
            <w:vAlign w:val="center"/>
          </w:tcPr>
          <w:p>
            <w:pPr>
              <w:pStyle w:val="TableContents"/>
              <w:bidi w:val="0"/>
              <w:spacing w:before="0" w:after="0"/>
              <w:jc w:val="left"/>
              <w:rPr/>
            </w:pPr>
            <w:r>
              <w:rPr/>
              <w:t> </w:t>
            </w:r>
          </w:p>
        </w:tc>
      </w:tr>
      <w:tr>
        <w:trPr/>
        <w:tc>
          <w:tcPr>
            <w:tcW w:w="63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condensed consolidated financial statements.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notes"/>
      <w:bookmarkEnd w:id="10"/>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interim unaudited condensed consolidated financial statements have been prepared in accordance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with applicable rules and regulations. Pursuant to such rules and regulations, certain information and note disclosures normally included in financial statements prepared in accordance with U.S. generally accepted accounting principles (U.S. GAAP) have been condensed or omitted. In management’s opinion, all adjustments necessary for a fair presentation of the financial position, results of operations, stockholders’ equity, and cash flows have been included and are of a normal, recurring nature.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operating results for the full fiscal year or for any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You should read the financial statements and these notes, which notes are an integral part of the financial statements, together with our audited financial statements included in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for the fiscal year ended </w:t>
      </w:r>
      <w:r>
        <w:rPr>
          <w:rStyle w:val="Emphasis"/>
          <w:rFonts w:ascii="Times New Roman" w:hAnsi="Times New Roman"/>
          <w:caps w:val="false"/>
          <w:smallCaps w:val="false"/>
          <w:sz w:val="20"/>
        </w:rPr>
        <w:t xml:space="preserve"> June 30, 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Annual Report”). The accounting policies used to prepare the financial statements included in this Report are the same policies described in the notes to the consolidated financial statements in our </w:t>
      </w:r>
      <w:r>
        <w:rPr>
          <w:rStyle w:val="Emphasis"/>
          <w:rFonts w:ascii="Times New Roman" w:hAnsi="Times New Roman"/>
          <w:caps w:val="false"/>
          <w:smallCaps w:val="false"/>
          <w:sz w:val="20"/>
        </w:rPr>
        <w:t>2024</w:t>
      </w:r>
      <w:r>
        <w:rPr>
          <w:rFonts w:ascii="Times New Roman" w:hAnsi="Times New Roman"/>
          <w:caps w:val="false"/>
          <w:smallCaps w:val="false"/>
          <w:sz w:val="20"/>
        </w:rPr>
        <w:t> Annual Report unless otherwise noted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adopt any accounting pronouncements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Issued Accounting and Regulatory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Recently issued accounting pronouncements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discussed in this Report as such pronouncements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believed by management to have, a material impact on present or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compute net loss per common share using the weighted average number of common shares outstanding during the period, and diluted net loss per common share using the additional dilutive effect of all dilutive securities. The dilutive impact of unvested restricted shares accounts for the additional weighted average shares of common stock outstanding for our diluted net loss per common share computation. We calculated basic and diluted net loss per common share as follows (in thousands, except per share data):</w:t>
      </w:r>
    </w:p>
    <w:p>
      <w:pPr>
        <w:pStyle w:val="TextBody"/>
        <w:bidi w:val="0"/>
        <w:spacing w:before="0" w:after="0"/>
        <w:ind w:left="0" w:right="0" w:hanging="0"/>
        <w:jc w:val="both"/>
        <w:rPr>
          <w:caps w:val="false"/>
          <w:smallCaps w:val="false"/>
        </w:rPr>
      </w:pPr>
      <w:r>
        <w:rPr>
          <w:caps w:val="false"/>
          <w:smallCaps w:val="false"/>
        </w:rPr>
        <w:t> </w:t>
      </w:r>
    </w:p>
    <w:tbl>
      <w:tblPr>
        <w:tblW w:w="8120" w:type="dxa"/>
        <w:jc w:val="left"/>
        <w:tblInd w:w="0" w:type="dxa"/>
        <w:tblLayout w:type="fixed"/>
        <w:tblCellMar>
          <w:top w:w="0" w:type="dxa"/>
          <w:left w:w="0" w:type="dxa"/>
          <w:bottom w:w="0" w:type="dxa"/>
          <w:right w:w="0" w:type="dxa"/>
        </w:tblCellMar>
      </w:tblPr>
      <w:tblGrid>
        <w:gridCol w:w="4415"/>
        <w:gridCol w:w="60"/>
        <w:gridCol w:w="148"/>
        <w:gridCol w:w="648"/>
        <w:gridCol w:w="95"/>
        <w:gridCol w:w="71"/>
        <w:gridCol w:w="148"/>
        <w:gridCol w:w="648"/>
        <w:gridCol w:w="80"/>
        <w:gridCol w:w="60"/>
        <w:gridCol w:w="141"/>
        <w:gridCol w:w="614"/>
        <w:gridCol w:w="90"/>
        <w:gridCol w:w="67"/>
        <w:gridCol w:w="141"/>
        <w:gridCol w:w="614"/>
        <w:gridCol w:w="8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6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5,856</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restricted stock</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5,943</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5,856</w:t>
            </w:r>
          </w:p>
        </w:tc>
        <w:tc>
          <w:tcPr>
            <w:tcW w:w="8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4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exclude the impact of restricted stock from the calculation of diluted net loss per common share in periods where we have a net loss or when their inclusion would be antidilutive.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 excluded 158,319 shares of unvested restricted stock.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excluded 238,739 shares of unvested restricted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we excluded 173,230 shares of unvested restricted stock.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we excluded 215,180 shares of unvested restricted stock.</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record revenue based on a </w:t>
      </w:r>
      <w:r>
        <w:rPr>
          <w:rStyle w:val="Emphasis"/>
          <w:rFonts w:ascii="Times New Roman" w:hAnsi="Times New Roman"/>
          <w:caps w:val="false"/>
          <w:smallCaps w:val="false"/>
          <w:sz w:val="20"/>
        </w:rPr>
        <w:t>five</w:t>
      </w:r>
      <w:r>
        <w:rPr>
          <w:rFonts w:ascii="Times New Roman" w:hAnsi="Times New Roman"/>
          <w:caps w:val="false"/>
          <w:smallCaps w:val="false"/>
          <w:sz w:val="20"/>
        </w:rPr>
        <w:t>-step model which includes: (</w:t>
      </w:r>
      <w:r>
        <w:rPr>
          <w:rStyle w:val="Emphasis"/>
          <w:rFonts w:ascii="Times New Roman" w:hAnsi="Times New Roman"/>
          <w:caps w:val="false"/>
          <w:smallCaps w:val="false"/>
          <w:sz w:val="20"/>
        </w:rPr>
        <w:t>1</w:t>
      </w:r>
      <w:r>
        <w:rPr>
          <w:rFonts w:ascii="Times New Roman" w:hAnsi="Times New Roman"/>
          <w:caps w:val="false"/>
          <w:smallCaps w:val="false"/>
          <w:sz w:val="20"/>
        </w:rPr>
        <w:t>) identifying a contract with a customer; (</w:t>
      </w:r>
      <w:r>
        <w:rPr>
          <w:rStyle w:val="Emphasis"/>
          <w:rFonts w:ascii="Times New Roman" w:hAnsi="Times New Roman"/>
          <w:caps w:val="false"/>
          <w:smallCaps w:val="false"/>
          <w:sz w:val="20"/>
        </w:rPr>
        <w:t>2</w:t>
      </w:r>
      <w:r>
        <w:rPr>
          <w:rFonts w:ascii="Times New Roman" w:hAnsi="Times New Roman"/>
          <w:caps w:val="false"/>
          <w:smallCaps w:val="false"/>
          <w:sz w:val="20"/>
        </w:rPr>
        <w:t>) identifying the performance obligations in the contract; (</w:t>
      </w:r>
      <w:r>
        <w:rPr>
          <w:rStyle w:val="Emphasis"/>
          <w:rFonts w:ascii="Times New Roman" w:hAnsi="Times New Roman"/>
          <w:caps w:val="false"/>
          <w:smallCaps w:val="false"/>
          <w:sz w:val="20"/>
        </w:rPr>
        <w:t>3</w:t>
      </w:r>
      <w:r>
        <w:rPr>
          <w:rFonts w:ascii="Times New Roman" w:hAnsi="Times New Roman"/>
          <w:caps w:val="false"/>
          <w:smallCaps w:val="false"/>
          <w:sz w:val="20"/>
        </w:rPr>
        <w:t>) determining the transaction price; (</w:t>
      </w:r>
      <w:r>
        <w:rPr>
          <w:rStyle w:val="Emphasis"/>
          <w:rFonts w:ascii="Times New Roman" w:hAnsi="Times New Roman"/>
          <w:caps w:val="false"/>
          <w:smallCaps w:val="false"/>
          <w:sz w:val="20"/>
        </w:rPr>
        <w:t>4</w:t>
      </w:r>
      <w:r>
        <w:rPr>
          <w:rFonts w:ascii="Times New Roman" w:hAnsi="Times New Roman"/>
          <w:caps w:val="false"/>
          <w:smallCaps w:val="false"/>
          <w:sz w:val="20"/>
        </w:rPr>
        <w:t>) allocating the transaction price among the performance obligations; and (</w:t>
      </w:r>
      <w:r>
        <w:rPr>
          <w:rStyle w:val="Emphasis"/>
          <w:rFonts w:ascii="Times New Roman" w:hAnsi="Times New Roman"/>
          <w:caps w:val="false"/>
          <w:smallCaps w:val="false"/>
          <w:sz w:val="20"/>
        </w:rPr>
        <w:t>5</w:t>
      </w:r>
      <w:r>
        <w:rPr>
          <w:rFonts w:ascii="Times New Roman" w:hAnsi="Times New Roman"/>
          <w:caps w:val="false"/>
          <w:smallCaps w:val="false"/>
          <w:sz w:val="20"/>
        </w:rPr>
        <w:t>) recognizing revenue as each of the various performance obligations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is measured as the net amount of consideration expected to be received in exchange for fulfilling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performance obligations. We identify purchase orders from customers as contracts. The amount of consideration expected to be received, and revenue recognized includes estimates of variable consideration, including estimates for early payment discounts and volume rebates. Such estimates are calculated using historical averages adjusted for any expected changes due to current business conditions and experience. We review and update these estimates at the end of each reporting period and the impact of any adjustments is recognized in the period the adjustments are identified. In assessing whether collection of consideration from a customer is probable, we consider both the customer's ability and intent to pay that amount of consideration when it is due. Payment of invoices is due as specified in the underlying customer agreement, which is typically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days from the invoice date. Invoices are generally issued on the date of transfer of control of the products ordered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is recognized at the point in time that each of our performance obligations is fulfilled, and control of the ordered products is transferred to the customer. This transfer occurs when the product is shipped, or in some cases, when the product is delivered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We recognize revenue in certain circumstances before delivery to the customer has occurred (commonly referred to as bill-and-hold transactions). Products sold under bill-and-hold arrangements are recorded as revenue when risk of ownership has been transferred to the customer, but the product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shipped due to a substantive reason, typically at the customer’s request. The product must be separately identified as belonging to the customer, ready for physical transfer to the customer, and we cannot have the ability to redirect the product to another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early payment discounts to certain customers. Based on historical payment trends, we expect that these customers will take advantage of these early payment discounts. The cost of these discounts is reported as a reduction to the transaction price. If the actual discounts differ from those estimated, the difference is also reported as a change in the transaction price. We require prepayment from certain customers. We record any payments received in advance of contract fulfillment as a contract liability and they are classified as customer deposits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Contract liabilities and revenue recognized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3"/>
        <w:gridCol w:w="60"/>
        <w:gridCol w:w="310"/>
        <w:gridCol w:w="833"/>
        <w:gridCol w:w="60"/>
        <w:gridCol w:w="60"/>
        <w:gridCol w:w="170"/>
        <w:gridCol w:w="660"/>
        <w:gridCol w:w="60"/>
        <w:gridCol w:w="60"/>
        <w:gridCol w:w="312"/>
        <w:gridCol w:w="1370"/>
        <w:gridCol w:w="80"/>
        <w:gridCol w:w="60"/>
        <w:gridCol w:w="482"/>
        <w:gridCol w:w="1007"/>
        <w:gridCol w:w="60"/>
        <w:gridCol w:w="60"/>
        <w:gridCol w:w="264"/>
        <w:gridCol w:w="1029"/>
        <w:gridCol w:w="65"/>
      </w:tblGrid>
      <w:tr>
        <w:trPr/>
        <w:tc>
          <w:tcPr>
            <w:tcW w:w="31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5" w:type="dxa"/>
            <w:tcBorders/>
            <w:shd w:fill="FFFFFF" w:val="clear"/>
            <w:vAlign w:val="center"/>
          </w:tcPr>
          <w:p>
            <w:pPr>
              <w:pStyle w:val="TableContents"/>
              <w:bidi w:val="0"/>
              <w:spacing w:before="0" w:after="283"/>
              <w:ind w:left="0" w:right="0" w:hanging="0"/>
              <w:jc w:val="left"/>
              <w:rPr/>
            </w:pPr>
            <w:r>
              <w:rPr/>
              <w:t> </w:t>
            </w:r>
          </w:p>
        </w:tc>
      </w:tr>
      <w:tr>
        <w:trPr/>
        <w:tc>
          <w:tcPr>
            <w:tcW w:w="3143"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1,523</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4"/>
        <w:gridCol w:w="60"/>
        <w:gridCol w:w="310"/>
        <w:gridCol w:w="833"/>
        <w:gridCol w:w="60"/>
        <w:gridCol w:w="60"/>
        <w:gridCol w:w="170"/>
        <w:gridCol w:w="660"/>
        <w:gridCol w:w="60"/>
        <w:gridCol w:w="60"/>
        <w:gridCol w:w="312"/>
        <w:gridCol w:w="1370"/>
        <w:gridCol w:w="80"/>
        <w:gridCol w:w="60"/>
        <w:gridCol w:w="482"/>
        <w:gridCol w:w="1007"/>
        <w:gridCol w:w="60"/>
        <w:gridCol w:w="60"/>
        <w:gridCol w:w="350"/>
        <w:gridCol w:w="941"/>
        <w:gridCol w:w="66"/>
      </w:tblGrid>
      <w:tr>
        <w:trPr/>
        <w:tc>
          <w:tcPr>
            <w:tcW w:w="3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Revenue Recognized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Customer Refunds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66" w:type="dxa"/>
            <w:tcBorders/>
            <w:shd w:fill="FFFFFF" w:val="clear"/>
            <w:vAlign w:val="center"/>
          </w:tcPr>
          <w:p>
            <w:pPr>
              <w:pStyle w:val="TableContents"/>
              <w:bidi w:val="0"/>
              <w:spacing w:before="0" w:after="283"/>
              <w:ind w:left="0" w:right="0" w:hanging="0"/>
              <w:jc w:val="left"/>
              <w:rPr/>
            </w:pPr>
            <w:r>
              <w:rPr/>
              <w:t> </w:t>
            </w:r>
          </w:p>
        </w:tc>
      </w:tr>
      <w:tr>
        <w:trPr/>
        <w:tc>
          <w:tcPr>
            <w:tcW w:w="3144"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Contract Liabilities (Customer Deposits)</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8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387</w:t>
            </w:r>
          </w:p>
        </w:tc>
        <w:tc>
          <w:tcPr>
            <w:tcW w:w="6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product defects,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right of return exists on the sale of our products. We estimate returns based on historical experience and recognize a returns liability for any estimated returns.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 have an estimated returns liability of approximately $9,000.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currently own certain U.S. patents, and each patent’s corresponding foreign patent applications. All of these patents and patent rights relate to the ingredient known as beta-alanine marketed and sold under our CarnoSyn® and SR CarnoSyn® trademarks, and our TriBsyn™ tradename. We recorded beta-alanine raw material sales, and royalty and licensing income as a component of revenue in the amount of $1.7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$6.0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We similarly recorded $2.7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$6.6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These royalty income and raw material sale amounts resulted in royalty expense paid to the original patent holders from whom NAI acquired their patents and patent rights. We recognized royalty expense as a component of cost of goods sold in the amount of approximately $56,000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$210,000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We recorded approximately $96,000 of royalty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$278,000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Stock-Based Compensation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approved our current omnibus equity incentive plan that became effective </w:t>
      </w:r>
      <w:r>
        <w:rPr>
          <w:rStyle w:val="Emphasis"/>
          <w:rFonts w:ascii="Times New Roman" w:hAnsi="Times New Roman"/>
          <w:caps w:val="false"/>
          <w:smallCaps w:val="false"/>
          <w:sz w:val="20"/>
        </w:rPr>
        <w:t>January 1, 2021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was approved by our stockholders at the Annual Meeting of Stockholders on </w:t>
      </w:r>
      <w:r>
        <w:rPr>
          <w:rStyle w:val="Emphasis"/>
          <w:rFonts w:ascii="Times New Roman" w:hAnsi="Times New Roman"/>
          <w:caps w:val="false"/>
          <w:smallCaps w:val="false"/>
          <w:sz w:val="20"/>
        </w:rPr>
        <w:t xml:space="preserve">December 4, 2020. </w:t>
      </w:r>
      <w:r>
        <w:rPr>
          <w:rFonts w:ascii="Times New Roman" w:hAnsi="Times New Roman"/>
          <w:caps w:val="false"/>
          <w:smallCaps w:val="false"/>
          <w:sz w:val="20"/>
        </w:rPr>
        <w:t xml:space="preserve">Under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grant nonqualified and incentive stock options, restricted stock grants, restricted stock units, stock appreciation rights, and other stock-based awards to employees, non-employee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did not have any stock option activity or stock options outstanding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granted a total of 24,000 restricted stock shares to members of our Board of Directors.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we granted a total of 151,500 restricted stock shares to members of our Board of Directors and key members of our management team.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we granted a total of 166,500 restricted stock shares to members of our Board of Directors and key members of our management team.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no restricted stock shares were forfeited.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3,000 restricted stock shares were forfeited. Our net losses included stock-based compensation expense with the vesting of prior restricted stock grants of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$0.8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$0.9 million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Deferred Compensation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 xml:space="preserve">July 16, 2020, </w:t>
      </w:r>
      <w:r>
        <w:rPr>
          <w:rFonts w:ascii="Times New Roman" w:hAnsi="Times New Roman"/>
          <w:caps w:val="false"/>
          <w:smallCaps w:val="false"/>
          <w:sz w:val="20"/>
        </w:rPr>
        <w:t xml:space="preserve">the Board of Directors approved and adopted a Non-Qualified Incentive Plan (the “Incentive Plan”). Pursuant to the Incentive Plan, the Human Resources Committee and the Board of Directors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make deferred cash payments or other cash awards (“Awards”) to directors, officers, employees of NAI and eligible consultants (“Participants”). These Awards are made subject to conditions precedent that must be met before NAI is obligated to make the payment. The purpose of the Incentive Plan is to enhance the long-term stockholder value of NAI by providing the Human Resources Committee and the Board of Directors the ability to make deferred cash payments or other cash awards to encourage Participants to serve NAI or to remain in the service of NAI, or to assist NAI to achieve results determined by the Human Resources Committee or the Board of Directors to be in NAI's best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Incentive Plan authorizes the Human Resources Committee or the Board of Directors to grant to, and administer, unsecured and deferred cash Awards to Participants and to subject each Award to whatever conditions are determined appropriate by the Human Resources Committee or the Board of Directors. The terms of each Award, including the amount and any conditions that must be met to be entitled to payment of the Award are set forth in an Award Agreement between each Participant and NAI. The Incentive Plan provides the Board of Directors with the discretion to set aside assets to fund the Incentive Plan although that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done to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granted a total of $0.2 million in deferred cash awards to members or our Board of Directors.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we granted a total of $0.9 million in deferred cash awards to members or our Board of Directors and certain key members or our management team. Each deferred cash award provides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equal cash payments to the applicable Participant to be paid on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year, and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 anniversaries of the date of the grant of such Awards, (the “Award Date”); provided on the date of each payment (the “Payment Date”), the Participant has been since Award Date, and continues to be through the Payment Date, a member of our Board of Directors or an employee of NAI. In the event a Participant ceases to be an employee of NAI or a member of our Board of Directors prior to any Payment Date,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further payments are to be made in connection with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deferred cash awards were forfeited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Fair Value of Financial Instruments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Except for cash and cash equivalents,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June 30, 2024</w:t>
      </w:r>
      <w:r>
        <w:rPr>
          <w:rFonts w:ascii="Times New Roman" w:hAnsi="Times New Roman"/>
          <w:caps w:val="false"/>
          <w:smallCaps w:val="false"/>
          <w:sz w:val="20"/>
        </w:rPr>
        <w:t xml:space="preserve">, we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financial assets or liabilities classified as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We classify derivative forward exchange and interest rate swap contracts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The fair values were determined by obtaining pricing from our bank and corroborating those values with a </w:t>
      </w:r>
      <w:r>
        <w:rPr>
          <w:rStyle w:val="Emphasis"/>
          <w:rFonts w:ascii="Times New Roman" w:hAnsi="Times New Roman"/>
          <w:caps w:val="false"/>
          <w:smallCaps w:val="false"/>
          <w:sz w:val="20"/>
        </w:rPr>
        <w:t>third</w:t>
      </w:r>
      <w:r>
        <w:rPr>
          <w:rFonts w:ascii="Times New Roman" w:hAnsi="Times New Roman"/>
          <w:caps w:val="false"/>
          <w:smallCaps w:val="false"/>
          <w:sz w:val="20"/>
        </w:rPr>
        <w:t>-party bank or pricing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Fair value of derivative instruments classified as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assets and liabilities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4310"/>
        <w:gridCol w:w="60"/>
        <w:gridCol w:w="363"/>
        <w:gridCol w:w="976"/>
        <w:gridCol w:w="80"/>
        <w:gridCol w:w="60"/>
        <w:gridCol w:w="323"/>
        <w:gridCol w:w="866"/>
        <w:gridCol w:w="80"/>
      </w:tblGrid>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Interest Swap–Other Current Assets</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Euro Forward Contract–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Derivative Contracts – Current Assets</w:t>
            </w:r>
          </w:p>
        </w:tc>
        <w:tc>
          <w:tcPr>
            <w:tcW w:w="60" w:type="dxa"/>
            <w:tcBorders/>
            <w:shd w:fill="CCEEFF" w:val="clear"/>
            <w:vAlign w:val="center"/>
          </w:tcPr>
          <w:p>
            <w:pPr>
              <w:pStyle w:val="TableContents"/>
              <w:bidi w:val="0"/>
              <w:spacing w:before="0" w:after="283"/>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0" w:type="dxa"/>
            <w:tcBorders/>
            <w:shd w:fill="CCEEFF" w:val="clear"/>
            <w:vAlign w:val="center"/>
          </w:tcPr>
          <w:p>
            <w:pPr>
              <w:pStyle w:val="TableContents"/>
              <w:bidi w:val="0"/>
              <w:spacing w:before="0" w:after="283"/>
              <w:jc w:val="left"/>
              <w:rPr/>
            </w:pPr>
            <w:r>
              <w:rPr/>
              <w:t> </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Euro Forward Contract– Other noncurrent Assets</w:t>
            </w:r>
          </w:p>
        </w:tc>
        <w:tc>
          <w:tcPr>
            <w:tcW w:w="60" w:type="dxa"/>
            <w:tcBorders/>
            <w:shd w:fill="CCEEFF" w:val="clear"/>
            <w:vAlign w:val="center"/>
          </w:tcPr>
          <w:p>
            <w:pPr>
              <w:pStyle w:val="TableContents"/>
              <w:bidi w:val="0"/>
              <w:spacing w:before="0" w:after="283"/>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Derivative Contracts – Other noncurrent Assets</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3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Swiss Franc Forward Contract – Current Liabilities</w:t>
            </w:r>
          </w:p>
        </w:tc>
        <w:tc>
          <w:tcPr>
            <w:tcW w:w="60" w:type="dxa"/>
            <w:tcBorders/>
            <w:shd w:fill="FFFFFF" w:val="clear"/>
            <w:vAlign w:val="center"/>
          </w:tcPr>
          <w:p>
            <w:pPr>
              <w:pStyle w:val="TableContents"/>
              <w:bidi w:val="0"/>
              <w:spacing w:before="0" w:after="283"/>
              <w:jc w:val="left"/>
              <w:rPr/>
            </w:pPr>
            <w:r>
              <w:rPr/>
              <w:t> </w:t>
            </w:r>
          </w:p>
        </w:tc>
        <w:tc>
          <w:tcPr>
            <w:tcW w:w="3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3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Derivative Contracts –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3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3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Fair Value Net Asset – all Derivative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3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sz w:val="20"/>
        </w:rPr>
        <w:t xml:space="preserve">We also classify any outstanding line of credit and term loan balance as a Level </w:t>
      </w:r>
      <w:r>
        <w:rPr>
          <w:rStyle w:val="Emphasis"/>
          <w:rFonts w:ascii="Times New Roman" w:hAnsi="Times New Roman"/>
          <w:sz w:val="20"/>
        </w:rPr>
        <w:t>2</w:t>
      </w:r>
      <w:r>
        <w:rPr>
          <w:rFonts w:ascii="Times New Roman" w:hAnsi="Times New Roman"/>
          <w:sz w:val="20"/>
        </w:rPr>
        <w:t xml:space="preserve"> liability as the fair value is based on inputs that can be derived from information available in publicly quoted markets. As of </w:t>
      </w:r>
      <w:r>
        <w:rPr>
          <w:rStyle w:val="Emphasis"/>
          <w:rFonts w:ascii="Times New Roman" w:hAnsi="Times New Roman"/>
          <w:sz w:val="20"/>
        </w:rPr>
        <w:t>March 31, 2025</w:t>
      </w:r>
      <w:r>
        <w:rPr>
          <w:rFonts w:ascii="Times New Roman" w:hAnsi="Times New Roman"/>
          <w:sz w:val="20"/>
        </w:rPr>
        <w:t xml:space="preserve">, we had $2.0 million outstanding on our line of credit and $9.0 million outstanding on our term loan.  As of </w:t>
      </w:r>
      <w:r>
        <w:rPr>
          <w:rStyle w:val="Emphasis"/>
          <w:rFonts w:ascii="Times New Roman" w:hAnsi="Times New Roman"/>
          <w:sz w:val="20"/>
        </w:rPr>
        <w:t>June 30, 2024</w:t>
      </w:r>
      <w:r>
        <w:rPr>
          <w:rFonts w:ascii="Times New Roman" w:hAnsi="Times New Roman"/>
          <w:sz w:val="20"/>
        </w:rPr>
        <w:t xml:space="preserve">, we had $3.4 million outstanding on our line of credit and $9.2 million outstanding on our term loan.  As of </w:t>
      </w:r>
      <w:r>
        <w:rPr>
          <w:rStyle w:val="Emphasis"/>
          <w:rFonts w:ascii="Times New Roman" w:hAnsi="Times New Roman"/>
          <w:sz w:val="20"/>
        </w:rPr>
        <w:t>March 31, 2025</w:t>
      </w:r>
      <w:r>
        <w:rPr>
          <w:rFonts w:ascii="Times New Roman" w:hAnsi="Times New Roman"/>
          <w:sz w:val="20"/>
        </w:rPr>
        <w:t xml:space="preserve"> and </w:t>
      </w:r>
      <w:r>
        <w:rPr>
          <w:rStyle w:val="Emphasis"/>
          <w:rFonts w:ascii="Times New Roman" w:hAnsi="Times New Roman"/>
          <w:sz w:val="20"/>
        </w:rPr>
        <w:t>June 30, 2024</w:t>
      </w:r>
      <w:r>
        <w:rPr>
          <w:rFonts w:ascii="Times New Roman" w:hAnsi="Times New Roman"/>
          <w:sz w:val="20"/>
        </w:rPr>
        <w:t xml:space="preserve">, we did not have any financial assets or liabilities classified as Level </w:t>
      </w:r>
      <w:r>
        <w:rPr>
          <w:rStyle w:val="Emphasis"/>
          <w:rFonts w:ascii="Times New Roman" w:hAnsi="Times New Roman"/>
          <w:sz w:val="20"/>
        </w:rPr>
        <w:t>3.</w:t>
      </w:r>
      <w:r>
        <w:rPr>
          <w:rFonts w:ascii="Times New Roman" w:hAnsi="Times New Roman"/>
          <w:sz w:val="20"/>
        </w:rPr>
        <w:t xml:space="preserve"> We did </w:t>
      </w:r>
      <w:r>
        <w:rPr>
          <w:rStyle w:val="Emphasis"/>
          <w:rFonts w:ascii="Times New Roman" w:hAnsi="Times New Roman"/>
          <w:sz w:val="20"/>
        </w:rPr>
        <w:t>not</w:t>
      </w:r>
      <w:r>
        <w:rPr>
          <w:rFonts w:ascii="Times New Roman" w:hAnsi="Times New Roman"/>
          <w:sz w:val="20"/>
        </w:rPr>
        <w:t xml:space="preserve"> transfer any assets or liabilities between these levels during fiscal </w:t>
      </w:r>
      <w:r>
        <w:rPr>
          <w:rStyle w:val="Emphasis"/>
          <w:rFonts w:ascii="Times New Roman" w:hAnsi="Times New Roman"/>
          <w:sz w:val="20"/>
        </w:rPr>
        <w:t>2025</w:t>
      </w:r>
      <w:r>
        <w:rPr>
          <w:rFonts w:ascii="Times New Roman" w:hAnsi="Times New Roman"/>
          <w:sz w:val="20"/>
        </w:rPr>
        <w:t xml:space="preserve"> or fiscal </w:t>
      </w:r>
      <w:r>
        <w:rPr>
          <w:rStyle w:val="Emphasis"/>
          <w:rFonts w:ascii="Times New Roman" w:hAnsi="Times New Roman"/>
          <w:sz w:val="20"/>
        </w:rPr>
        <w:t>2024.</w:t>
      </w:r>
    </w:p>
    <w:p>
      <w:pPr>
        <w:pStyle w:val="TextBody"/>
        <w:bidi w:val="0"/>
        <w:ind w:left="0" w:right="0" w:hanging="0"/>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3278" w:type="dxa"/>
        <w:jc w:val="left"/>
        <w:tblInd w:w="0" w:type="dxa"/>
        <w:tblLayout w:type="fixed"/>
        <w:tblCellMar>
          <w:top w:w="0" w:type="dxa"/>
          <w:left w:w="0" w:type="dxa"/>
          <w:bottom w:w="0" w:type="dxa"/>
          <w:right w:w="0" w:type="dxa"/>
        </w:tblCellMar>
      </w:tblPr>
      <w:tblGrid>
        <w:gridCol w:w="1400"/>
        <w:gridCol w:w="60"/>
        <w:gridCol w:w="152"/>
        <w:gridCol w:w="722"/>
        <w:gridCol w:w="80"/>
        <w:gridCol w:w="60"/>
        <w:gridCol w:w="126"/>
        <w:gridCol w:w="598"/>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18,489</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 in progress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3,362</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7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3,038</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26,991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24,249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504" w:type="dxa"/>
        <w:jc w:val="left"/>
        <w:tblInd w:w="0" w:type="dxa"/>
        <w:tblLayout w:type="fixed"/>
        <w:tblCellMar>
          <w:top w:w="0" w:type="dxa"/>
          <w:left w:w="0" w:type="dxa"/>
          <w:bottom w:w="0" w:type="dxa"/>
          <w:right w:w="0" w:type="dxa"/>
        </w:tblCellMar>
      </w:tblPr>
      <w:tblGrid>
        <w:gridCol w:w="4010"/>
        <w:gridCol w:w="60"/>
        <w:gridCol w:w="1400"/>
        <w:gridCol w:w="60"/>
        <w:gridCol w:w="60"/>
        <w:gridCol w:w="133"/>
        <w:gridCol w:w="741"/>
        <w:gridCol w:w="80"/>
        <w:gridCol w:w="60"/>
        <w:gridCol w:w="125"/>
        <w:gridCol w:w="695"/>
        <w:gridCol w:w="80"/>
      </w:tblGrid>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Depreciable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Building and building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7 – 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24,654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Machinery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43,631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Office equipment and furniture</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 – 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Vehicles</w:t>
            </w:r>
          </w:p>
        </w:tc>
        <w:tc>
          <w:tcPr>
            <w:tcW w:w="60" w:type="dxa"/>
            <w:tcBorders/>
            <w:shd w:fill="CCEEFF" w:val="clear"/>
            <w:vAlign w:val="center"/>
          </w:tcPr>
          <w:p>
            <w:pPr>
              <w:pStyle w:val="TableContents"/>
              <w:bidi w:val="0"/>
              <w:spacing w:before="0" w:after="283"/>
              <w:ind w:left="0" w:right="0" w:hanging="0"/>
              <w:jc w:val="left"/>
              <w:rPr/>
            </w:pPr>
            <w:r>
              <w:rPr/>
              <w:t> </w:t>
            </w:r>
          </w:p>
        </w:tc>
        <w:tc>
          <w:tcPr>
            <w:tcW w:w="140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1 – 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107,519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10"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(55,080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(55,308</w:t>
            </w:r>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4010"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center"/>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52,211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Depreciation and amortization expense was approximately $1.1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and $3.4 million during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 Other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comprehensive loss and income (“OCL” and “OCI”) consisted of the following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(in thousands):</w:t>
      </w:r>
    </w:p>
    <w:p>
      <w:pPr>
        <w:pStyle w:val="TextBody"/>
        <w:bidi w:val="0"/>
        <w:spacing w:before="0" w:after="0"/>
        <w:ind w:left="0" w:right="0" w:hanging="0"/>
        <w:jc w:val="left"/>
        <w:rPr>
          <w:caps w:val="false"/>
          <w:smallCaps w:val="false"/>
        </w:rPr>
      </w:pPr>
      <w:r>
        <w:rPr>
          <w:caps w:val="false"/>
          <w:smallCaps w:val="false"/>
        </w:rPr>
        <w:t> </w:t>
      </w:r>
    </w:p>
    <w:tbl>
      <w:tblPr>
        <w:tblW w:w="7819" w:type="dxa"/>
        <w:jc w:val="left"/>
        <w:tblInd w:w="0" w:type="dxa"/>
        <w:tblLayout w:type="fixed"/>
        <w:tblCellMar>
          <w:top w:w="0" w:type="dxa"/>
          <w:left w:w="0" w:type="dxa"/>
          <w:bottom w:w="0" w:type="dxa"/>
          <w:right w:w="0" w:type="dxa"/>
        </w:tblCellMar>
      </w:tblPr>
      <w:tblGrid>
        <w:gridCol w:w="3185"/>
        <w:gridCol w:w="60"/>
        <w:gridCol w:w="162"/>
        <w:gridCol w:w="518"/>
        <w:gridCol w:w="82"/>
        <w:gridCol w:w="61"/>
        <w:gridCol w:w="347"/>
        <w:gridCol w:w="1097"/>
        <w:gridCol w:w="82"/>
        <w:gridCol w:w="61"/>
        <w:gridCol w:w="468"/>
        <w:gridCol w:w="976"/>
        <w:gridCol w:w="60"/>
        <w:gridCol w:w="60"/>
        <w:gridCol w:w="125"/>
        <w:gridCol w:w="395"/>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4"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5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Defined</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Benefit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 on</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 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Pension</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Cash Flow</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Plan</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Hedges</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Derivative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4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OCI/OCL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jc w:val="left"/>
              <w:rPr/>
            </w:pPr>
            <w:r>
              <w:rPr/>
              <w:t> </w:t>
            </w:r>
          </w:p>
        </w:tc>
        <w:tc>
          <w:tcPr>
            <w:tcW w:w="468" w:type="dxa"/>
            <w:tcBorders/>
            <w:shd w:fill="FFFFFF" w:val="clear"/>
            <w:vAlign w:val="center"/>
          </w:tcPr>
          <w:p>
            <w:pPr>
              <w:pStyle w:val="TableContents"/>
              <w:bidi w:val="0"/>
              <w:spacing w:before="0" w:after="283"/>
              <w:ind w:left="0" w:right="0" w:hanging="0"/>
              <w:jc w:val="left"/>
              <w:rPr/>
            </w:pPr>
            <w:r>
              <w:rPr/>
              <w:t> </w:t>
            </w:r>
          </w:p>
        </w:tc>
        <w:tc>
          <w:tcPr>
            <w:tcW w:w="97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468"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current period OCI/OCL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(414</w:t>
            </w:r>
          </w:p>
        </w:tc>
        <w:tc>
          <w:tcPr>
            <w:tcW w:w="8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CCEEFF" w:val="clear"/>
            <w:vAlign w:val="center"/>
          </w:tcPr>
          <w:p>
            <w:pPr>
              <w:pStyle w:val="TableContents"/>
              <w:bidi w:val="0"/>
              <w:spacing w:before="0" w:after="283"/>
              <w:jc w:val="left"/>
              <w:rPr/>
            </w:pPr>
            <w:r>
              <w:rPr/>
              <w:t> </w:t>
            </w:r>
          </w:p>
        </w:tc>
        <w:tc>
          <w:tcPr>
            <w:tcW w:w="4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w:t>
            </w:r>
          </w:p>
        </w:tc>
        <w:tc>
          <w:tcPr>
            <w:tcW w:w="8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4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7833" w:type="dxa"/>
        <w:jc w:val="left"/>
        <w:tblInd w:w="0" w:type="dxa"/>
        <w:tblLayout w:type="fixed"/>
        <w:tblCellMar>
          <w:top w:w="0" w:type="dxa"/>
          <w:left w:w="0" w:type="dxa"/>
          <w:bottom w:w="0" w:type="dxa"/>
          <w:right w:w="0" w:type="dxa"/>
        </w:tblCellMar>
      </w:tblPr>
      <w:tblGrid>
        <w:gridCol w:w="3185"/>
        <w:gridCol w:w="60"/>
        <w:gridCol w:w="162"/>
        <w:gridCol w:w="518"/>
        <w:gridCol w:w="80"/>
        <w:gridCol w:w="60"/>
        <w:gridCol w:w="347"/>
        <w:gridCol w:w="1097"/>
        <w:gridCol w:w="80"/>
        <w:gridCol w:w="60"/>
        <w:gridCol w:w="347"/>
        <w:gridCol w:w="1097"/>
        <w:gridCol w:w="80"/>
        <w:gridCol w:w="60"/>
        <w:gridCol w:w="125"/>
        <w:gridCol w:w="395"/>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4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OCI/OCL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185"/>
        <w:gridCol w:w="60"/>
        <w:gridCol w:w="162"/>
        <w:gridCol w:w="518"/>
        <w:gridCol w:w="80"/>
        <w:gridCol w:w="60"/>
        <w:gridCol w:w="390"/>
        <w:gridCol w:w="1234"/>
        <w:gridCol w:w="80"/>
        <w:gridCol w:w="60"/>
        <w:gridCol w:w="392"/>
        <w:gridCol w:w="1052"/>
        <w:gridCol w:w="80"/>
        <w:gridCol w:w="60"/>
        <w:gridCol w:w="125"/>
        <w:gridCol w:w="395"/>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8"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Pension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OCI/OCL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392" w:type="dxa"/>
            <w:tcBorders/>
            <w:shd w:fill="CCEEFF" w:val="clear"/>
            <w:vAlign w:val="center"/>
          </w:tcPr>
          <w:p>
            <w:pPr>
              <w:pStyle w:val="TableContents"/>
              <w:bidi w:val="0"/>
              <w:spacing w:before="0" w:after="283"/>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185" w:type="dxa"/>
            <w:tcBorders/>
            <w:shd w:fill="CCEEFF" w:val="clear"/>
            <w:vAlign w:val="center"/>
          </w:tcPr>
          <w:p>
            <w:pPr>
              <w:pStyle w:val="TableContents"/>
              <w:bidi w:val="0"/>
              <w:spacing w:before="0" w:after="0"/>
              <w:ind w:left="540" w:right="0" w:hanging="180"/>
              <w:jc w:val="left"/>
              <w:rPr>
                <w:rFonts w:ascii="Times New Roman" w:hAnsi="Times New Roman"/>
                <w:caps w:val="false"/>
                <w:smallCaps w:val="false"/>
                <w:sz w:val="20"/>
              </w:rPr>
            </w:pPr>
            <w:r>
              <w:rPr>
                <w:rFonts w:ascii="Times New Roman" w:hAnsi="Times New Roman"/>
                <w:caps w:val="false"/>
                <w:smallCaps w:val="false"/>
                <w:sz w:val="20"/>
              </w:rPr>
              <w:t>Net current period OCI/OCL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185"/>
        <w:gridCol w:w="60"/>
        <w:gridCol w:w="162"/>
        <w:gridCol w:w="518"/>
        <w:gridCol w:w="80"/>
        <w:gridCol w:w="60"/>
        <w:gridCol w:w="390"/>
        <w:gridCol w:w="1234"/>
        <w:gridCol w:w="80"/>
        <w:gridCol w:w="60"/>
        <w:gridCol w:w="347"/>
        <w:gridCol w:w="1097"/>
        <w:gridCol w:w="80"/>
        <w:gridCol w:w="60"/>
        <w:gridCol w:w="125"/>
        <w:gridCol w:w="395"/>
        <w:gridCol w:w="8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8"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(Losses)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Benefit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Gains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(Losses) 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Pension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Cash Flow</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Swap</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Plan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Hedges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Derivative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OCI/OCL before reclassifications</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ind w:left="0" w:right="0" w:hanging="0"/>
              <w:jc w:val="left"/>
              <w:rPr/>
            </w:pPr>
            <w:r>
              <w:rPr/>
              <w:t> </w:t>
            </w:r>
          </w:p>
        </w:tc>
        <w:tc>
          <w:tcPr>
            <w:tcW w:w="12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3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OCI to Sales</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12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effect of OCI activity</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OCI/OCL</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lease our Vista, California product manufacturing facility and Lugano, Switzerland product manufacturing and support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2023, </w:t>
      </w:r>
      <w:r>
        <w:rPr>
          <w:rFonts w:ascii="Times New Roman" w:hAnsi="Times New Roman"/>
          <w:caps w:val="false"/>
          <w:smallCaps w:val="false"/>
          <w:sz w:val="20"/>
        </w:rPr>
        <w:t xml:space="preserve">we entered into a Fourth Amendment to the Lease of our Vista, California manufacturing facility. The Fourth Amendment extended the term of the Lease by an additional ten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commencing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The amended lease covering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buildings and approximately 162,000 square feet resulted in an increase in base rent to $1.50 per square foot, after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free months of base rent beginning at the commencement of the extended term. NAI is constructing substantial improvements to the facilities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installation of an approximately $2.3 million solar electrical generating system on both buildings, and other substantial improvements. Pursuant to the Fourth Amendment, the Landlord will reimburse NAI for up to $1.1 million of these tenant improvements to the buildings. Our lease liability and Right of Use asset were both increased by approximately $25.9 million as a result of this lease extension effective on the date that the Fourth Amendment was executed.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26, 2024, </w:t>
      </w:r>
      <w:r>
        <w:rPr>
          <w:rFonts w:ascii="Times New Roman" w:hAnsi="Times New Roman"/>
          <w:caps w:val="false"/>
          <w:smallCaps w:val="false"/>
          <w:sz w:val="20"/>
        </w:rPr>
        <w:t xml:space="preserve">we exercised the early termination of an apartment lease in Lugano, Switzerland.  The early termination reduced the lease term by 9 years and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months which ended on </w:t>
      </w:r>
      <w:r>
        <w:rPr>
          <w:rStyle w:val="Emphasis"/>
          <w:rFonts w:ascii="Times New Roman" w:hAnsi="Times New Roman"/>
          <w:caps w:val="false"/>
          <w:smallCaps w:val="false"/>
          <w:sz w:val="20"/>
        </w:rPr>
        <w:t>April 30, 2024. </w:t>
      </w:r>
      <w:r>
        <w:rPr>
          <w:rFonts w:ascii="Times New Roman" w:hAnsi="Times New Roman"/>
          <w:caps w:val="false"/>
          <w:smallCaps w:val="false"/>
          <w:sz w:val="20"/>
        </w:rPr>
        <w:t xml:space="preserve">Our lease liability and Right of Use asset were both decreased by approximately $0.3 million as a result of the early termination of the lease agreement.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we entered into a lease for a new apartment in Lugano, Switzerland. This lease is for an initial term of 27 months, beginning </w:t>
      </w:r>
      <w:r>
        <w:rPr>
          <w:rStyle w:val="Emphasis"/>
          <w:rFonts w:ascii="Times New Roman" w:hAnsi="Times New Roman"/>
          <w:caps w:val="false"/>
          <w:smallCaps w:val="false"/>
          <w:sz w:val="20"/>
        </w:rPr>
        <w:t xml:space="preserve">April 1, 2024 </w:t>
      </w:r>
      <w:r>
        <w:rPr>
          <w:rFonts w:ascii="Times New Roman" w:hAnsi="Times New Roman"/>
          <w:caps w:val="false"/>
          <w:smallCaps w:val="false"/>
          <w:sz w:val="20"/>
        </w:rPr>
        <w:t xml:space="preserve">and ending on </w:t>
      </w:r>
      <w:r>
        <w:rPr>
          <w:rStyle w:val="Emphasis"/>
          <w:rFonts w:ascii="Times New Roman" w:hAnsi="Times New Roman"/>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leases are classified as operating leases. Substantially all our operating leases are comprised of payments for the use of manufacturing and office space.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leases classified as finance leases.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weighted average remaining lease term for our operating leases was 8.8 years and the weighted average discount rate for our operating leases was 5.93%. As of </w:t>
      </w:r>
      <w:r>
        <w:rPr>
          <w:rStyle w:val="Emphasis"/>
          <w:rFonts w:ascii="Times New Roman" w:hAnsi="Times New Roman"/>
          <w:caps w:val="false"/>
          <w:smallCaps w:val="false"/>
          <w:sz w:val="20"/>
        </w:rPr>
        <w:t>June 30, 2024</w:t>
      </w:r>
      <w:r>
        <w:rPr>
          <w:rFonts w:ascii="Times New Roman" w:hAnsi="Times New Roman"/>
          <w:caps w:val="false"/>
          <w:smallCaps w:val="false"/>
          <w:sz w:val="20"/>
        </w:rPr>
        <w:t>, the weighted average remaining lease term for our operating leases was 9.5 years and the weighted average discount rate was 5.92%.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Other information related to leases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was as follows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9"/>
        <w:gridCol w:w="60"/>
        <w:gridCol w:w="324"/>
        <w:gridCol w:w="1261"/>
        <w:gridCol w:w="60"/>
        <w:gridCol w:w="60"/>
        <w:gridCol w:w="277"/>
        <w:gridCol w:w="1312"/>
        <w:gridCol w:w="62"/>
      </w:tblGrid>
      <w:tr>
        <w:trPr/>
        <w:tc>
          <w:tcPr>
            <w:tcW w:w="6789"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Information</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Nine Months Ended</w:t>
            </w:r>
          </w:p>
        </w:tc>
        <w:tc>
          <w:tcPr>
            <w:tcW w:w="62" w:type="dxa"/>
            <w:tcBorders/>
            <w:shd w:fill="FFFFFF" w:val="clear"/>
            <w:vAlign w:val="center"/>
          </w:tcPr>
          <w:p>
            <w:pPr>
              <w:pStyle w:val="TableContents"/>
              <w:bidi w:val="0"/>
              <w:spacing w:before="0" w:after="283"/>
              <w:jc w:val="left"/>
              <w:rPr/>
            </w:pPr>
            <w:r>
              <w:rPr/>
              <w:t> </w:t>
            </w:r>
          </w:p>
        </w:tc>
      </w:tr>
      <w:tr>
        <w:trPr/>
        <w:tc>
          <w:tcPr>
            <w:tcW w:w="67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March 31, 2024</w:t>
            </w:r>
          </w:p>
        </w:tc>
        <w:tc>
          <w:tcPr>
            <w:tcW w:w="62" w:type="dxa"/>
            <w:tcBorders/>
            <w:shd w:fill="FFFFFF" w:val="clear"/>
            <w:vAlign w:val="center"/>
          </w:tcPr>
          <w:p>
            <w:pPr>
              <w:pStyle w:val="TableContents"/>
              <w:bidi w:val="0"/>
              <w:spacing w:before="0" w:after="283"/>
              <w:jc w:val="left"/>
              <w:rPr/>
            </w:pPr>
            <w:r>
              <w:rPr/>
              <w:t> </w:t>
            </w:r>
          </w:p>
        </w:tc>
      </w:tr>
      <w:tr>
        <w:trPr/>
        <w:tc>
          <w:tcPr>
            <w:tcW w:w="67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2,523</w:t>
            </w:r>
          </w:p>
        </w:tc>
        <w:tc>
          <w:tcPr>
            <w:tcW w:w="62" w:type="dxa"/>
            <w:tcBorders/>
            <w:shd w:fill="CCEEFF" w:val="clear"/>
            <w:vAlign w:val="center"/>
          </w:tcPr>
          <w:p>
            <w:pPr>
              <w:pStyle w:val="TableContents"/>
              <w:bidi w:val="0"/>
              <w:spacing w:before="0" w:after="283"/>
              <w:jc w:val="left"/>
              <w:rPr/>
            </w:pPr>
            <w:r>
              <w:rPr/>
              <w:t> </w:t>
            </w:r>
          </w:p>
        </w:tc>
      </w:tr>
      <w:tr>
        <w:trPr/>
        <w:tc>
          <w:tcPr>
            <w:tcW w:w="67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 in operating lease liabilities and right-of-use assets due to lease remeasurement</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6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25,589</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2021, </w:t>
      </w:r>
      <w:r>
        <w:rPr>
          <w:rFonts w:ascii="Times New Roman" w:hAnsi="Times New Roman"/>
          <w:caps w:val="false"/>
          <w:smallCaps w:val="false"/>
          <w:sz w:val="20"/>
        </w:rPr>
        <w:t xml:space="preserve">we entered into a renewed credit facility with Wells Fargo Bank, N.A (“Wells Fargo”) to extend the maturity for our working line of credit from </w:t>
      </w:r>
      <w:r>
        <w:rPr>
          <w:rStyle w:val="Emphasis"/>
          <w:rFonts w:ascii="Times New Roman" w:hAnsi="Times New Roman"/>
          <w:caps w:val="false"/>
          <w:smallCaps w:val="false"/>
          <w:sz w:val="20"/>
        </w:rPr>
        <w:t>November 1, 2022,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May 24, 2024. </w:t>
      </w:r>
      <w:r>
        <w:rPr>
          <w:rFonts w:ascii="Times New Roman" w:hAnsi="Times New Roman"/>
          <w:caps w:val="false"/>
          <w:smallCaps w:val="false"/>
          <w:sz w:val="20"/>
        </w:rPr>
        <w:t xml:space="preserve">That credit facility provided total lending capacity of up to $20.0 million and allowed us to use the credit facility for working capital as well as potential acquisitions. On </w:t>
      </w:r>
      <w:r>
        <w:rPr>
          <w:rStyle w:val="Emphasis"/>
          <w:rFonts w:ascii="Times New Roman" w:hAnsi="Times New Roman"/>
          <w:caps w:val="false"/>
          <w:smallCaps w:val="false"/>
          <w:sz w:val="20"/>
        </w:rPr>
        <w:t xml:space="preserve">August 18, 2021, </w:t>
      </w:r>
      <w:r>
        <w:rPr>
          <w:rFonts w:ascii="Times New Roman" w:hAnsi="Times New Roman"/>
          <w:caps w:val="false"/>
          <w:smallCaps w:val="false"/>
          <w:sz w:val="20"/>
        </w:rPr>
        <w:t xml:space="preserve">we entered into an amendment of that credit facility with Wells Fargo. The amended credit facility added a $10.0 million term loan to the existing $20.0 million credit facility and permitted us to use the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million term loan as part of the $17.5 million purchase consideration for the acquisition of our manufacturing and warehouse property in Carlsbad, California. The amended credit agreement also increased the allowed capital expenditures from $10.0 million to $15.0 million for fiscal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(exclusive of the amount paid for the acquisition of the new Carlsbad property noted above). In addition, the revised credit notes reflected a change in the interest rate reference from London Interbank Offered Rate (LIBOR) to Secured Overnight Financing Rate (SOFR). The Credit Agreement was amended and a new Revolving Line of Credit Note and Security Agreement were entered into. A Term Note and real property security documents were added to secure the Term Note by the Carlsbad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Subsequently we entered into a Second and Third Amendment that changed certain limits on our use of the line of credit.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31, 2023, </w:t>
      </w:r>
      <w:r>
        <w:rPr>
          <w:rFonts w:ascii="Times New Roman" w:hAnsi="Times New Roman"/>
          <w:caps w:val="false"/>
          <w:smallCaps w:val="false"/>
          <w:sz w:val="20"/>
        </w:rPr>
        <w:t xml:space="preserve">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certain financial covenants, including those related to net income requirements and the fixed charge coverage ratio. On </w:t>
      </w:r>
      <w:r>
        <w:rPr>
          <w:rStyle w:val="Emphasis"/>
          <w:rFonts w:ascii="Times New Roman" w:hAnsi="Times New Roman"/>
          <w:caps w:val="false"/>
          <w:smallCaps w:val="false"/>
          <w:sz w:val="20"/>
        </w:rPr>
        <w:t xml:space="preserve"> February 13, 2024, </w:t>
      </w:r>
      <w:r>
        <w:rPr>
          <w:rFonts w:ascii="Times New Roman" w:hAnsi="Times New Roman"/>
          <w:caps w:val="false"/>
          <w:smallCaps w:val="false"/>
          <w:sz w:val="20"/>
        </w:rPr>
        <w:t xml:space="preserve">we entered into a Fourth Amendment to our credit facility with Wells Fargo that waived all prior instances of non-compliance, decreased our total borrowing capacity on the line of credit to $12.5 million, increased the interest rate on borrowings under the line of credit to 2.25% from 1.29% above the daily simple SOFR rate, modified our continuing compliance requirements, and reduced the uses we can fund with the line of credit. Under the terms of the Credit Agreement, our borrowing eligibility requirements include maintaining (i) a ratio of total liabilities to tangible net worth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greater than 1.50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at any time; (ii) limits our losses to a decreasing amount over the next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with net income after taxes of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$1.00 by </w:t>
      </w:r>
      <w:r>
        <w:rPr>
          <w:rStyle w:val="Emphasis"/>
          <w:rFonts w:ascii="Times New Roman" w:hAnsi="Times New Roman"/>
          <w:caps w:val="false"/>
          <w:smallCaps w:val="false"/>
          <w:sz w:val="20"/>
        </w:rPr>
        <w:t>September 30, 2024; (</w:t>
      </w:r>
      <w:r>
        <w:rPr>
          <w:rFonts w:ascii="Times New Roman" w:hAnsi="Times New Roman"/>
          <w:caps w:val="false"/>
          <w:smallCaps w:val="false"/>
          <w:sz w:val="20"/>
        </w:rPr>
        <w:t xml:space="preserve">iii) a rolling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-quarter fixed charge coverage ratio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1.25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 xml:space="preserve">and each quarter thereafter. The Fourth Amendment included a limitation on the amount of capital expenditures that could be made in a given fiscal year, with such limitation set at $6.5 million, required us to suspend share repurchase and dividend activity, and included an availability reserve of 10% that will remain in place until we return to profitability. Any amounts outstanding under the line of credit bear interest at a fixed or fluctuating interest rate as elected by us from time to time. Any amounts outstanding under the line of credit must be paid in full on or before the maturity date of </w:t>
      </w:r>
      <w:r>
        <w:rPr>
          <w:rStyle w:val="Emphasis"/>
          <w:rFonts w:ascii="Times New Roman" w:hAnsi="Times New Roman"/>
          <w:caps w:val="false"/>
          <w:smallCaps w:val="false"/>
          <w:sz w:val="20"/>
        </w:rPr>
        <w:t xml:space="preserve">June 23, 2025 </w:t>
      </w:r>
      <w:r>
        <w:rPr>
          <w:rFonts w:ascii="Times New Roman" w:hAnsi="Times New Roman"/>
          <w:caps w:val="false"/>
          <w:smallCaps w:val="false"/>
          <w:sz w:val="20"/>
        </w:rPr>
        <w:t xml:space="preserve">as extended by our Fifth Amendment to our credit facility dated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Amounts outstanding that are subject to a fluctuating interest rate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prepaid at any time without penalty. Amounts outstanding that are subject to a fixed interest rate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prepaid at any time in minimum amounts of $100,000, subject to a prepayment fee equal to the sum of the discounted monthly differences between payment under a fixed rate versus payment under the variable rate for each month from the month of prepayment through the month in which the then applicable fixed rate term matures. There was an unused commitment fee of 0.25% required as part of the line of credit, and an origination fee of 1% which we paid upon execution of the Fourth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Term Note used as part of the purchase consideration of our powder processing and warehouse property in Carlsbad, California referenced above, was for the original principal amount of $10.0 million, and is a seven-year term note with payments fully amortized based on a </w:t>
      </w:r>
      <w:r>
        <w:rPr>
          <w:rStyle w:val="Emphasis"/>
          <w:rFonts w:ascii="Times New Roman" w:hAnsi="Times New Roman"/>
          <w:caps w:val="false"/>
          <w:smallCaps w:val="false"/>
          <w:sz w:val="20"/>
        </w:rPr>
        <w:t>twenty-five</w:t>
      </w:r>
      <w:r>
        <w:rPr>
          <w:rFonts w:ascii="Times New Roman" w:hAnsi="Times New Roman"/>
          <w:caps w:val="false"/>
          <w:smallCaps w:val="false"/>
          <w:sz w:val="20"/>
        </w:rPr>
        <w:t xml:space="preserve"> year assumed term. Installment payments under this loan commenced </w:t>
      </w:r>
      <w:r>
        <w:rPr>
          <w:rStyle w:val="Emphasis"/>
          <w:rFonts w:ascii="Times New Roman" w:hAnsi="Times New Roman"/>
          <w:caps w:val="false"/>
          <w:smallCaps w:val="false"/>
          <w:sz w:val="20"/>
        </w:rPr>
        <w:t xml:space="preserve">October 1, 2021, </w:t>
      </w:r>
      <w:r>
        <w:rPr>
          <w:rFonts w:ascii="Times New Roman" w:hAnsi="Times New Roman"/>
          <w:caps w:val="false"/>
          <w:smallCaps w:val="false"/>
          <w:sz w:val="20"/>
        </w:rPr>
        <w:t xml:space="preserve">and continue through </w:t>
      </w:r>
      <w:r>
        <w:rPr>
          <w:rStyle w:val="Emphasis"/>
          <w:rFonts w:ascii="Times New Roman" w:hAnsi="Times New Roman"/>
          <w:caps w:val="false"/>
          <w:smallCaps w:val="false"/>
          <w:sz w:val="20"/>
        </w:rPr>
        <w:t xml:space="preserve">August 1, 2028, </w:t>
      </w:r>
      <w:r>
        <w:rPr>
          <w:rFonts w:ascii="Times New Roman" w:hAnsi="Times New Roman"/>
          <w:caps w:val="false"/>
          <w:smallCaps w:val="false"/>
          <w:sz w:val="20"/>
        </w:rPr>
        <w:t xml:space="preserve">with a final installment consisting of all remaining amounts due to be paid in full on </w:t>
      </w:r>
      <w:r>
        <w:rPr>
          <w:rStyle w:val="Emphasis"/>
          <w:rFonts w:ascii="Times New Roman" w:hAnsi="Times New Roman"/>
          <w:caps w:val="false"/>
          <w:smallCaps w:val="false"/>
          <w:sz w:val="20"/>
        </w:rPr>
        <w:t xml:space="preserve">September 1, 2028. </w:t>
      </w:r>
      <w:r>
        <w:rPr>
          <w:rFonts w:ascii="Times New Roman" w:hAnsi="Times New Roman"/>
          <w:caps w:val="false"/>
          <w:smallCaps w:val="false"/>
          <w:sz w:val="20"/>
        </w:rPr>
        <w:t xml:space="preserve">Amounts outstanding on this note during the term of the agreement bear interest equal to 1.8%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In connection with this term loan, we entered into an interest rate swap with Wells Fargo that effectively fixed our interest rate on our term loan at 2.4%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of the term of the note which expired on </w:t>
      </w:r>
      <w:r>
        <w:rPr>
          <w:rStyle w:val="Emphasis"/>
          <w:rFonts w:ascii="Times New Roman" w:hAnsi="Times New Roman"/>
          <w:caps w:val="false"/>
          <w:smallCaps w:val="false"/>
          <w:sz w:val="20"/>
        </w:rPr>
        <w:t>September 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Our obligations under the Credit Agreement are secured by our accounts receivable and other rights to payment, general intangibles, inventory, equipment and fixtures. We also have credit approval with Wells Fargo Bank, which allows us to hedge foreign currency exposures. Wells Fargo Bank modified the terms of our foreign exchange facility reducing our ability to hedge future foreign currency exposures from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months to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We also have credit approval with Bank of America which allows us to hedge foreign currency exposures up to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had $9.0 million outstanding under the Term Note used in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for the purchase of our Carlsbad, California powder processing and warehouse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compliance with the financial covenants related to net income requirements of the Fourth Amendment to our credit facility and a rolling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-quarter fixed charge ratio. In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anticipate we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in compliance with the financial covenants associated with the Fourth Amendment related to net income requirements and the fixed charge coverage ratio. We have a tentative agreement with Wells Fargo regarding proposed amended terms to our credit facility. Amended terms are anticipated to include waving all current and past covenant violations. We are still working with Wells Fargo on finalizing the formal amended credit agreement and expect to execute this amendment by early </w:t>
      </w:r>
      <w:r>
        <w:rPr>
          <w:rStyle w:val="Emphasis"/>
          <w:rFonts w:ascii="Times New Roman" w:hAnsi="Times New Roman"/>
          <w:caps w:val="false"/>
          <w:smallCaps w:val="false"/>
          <w:sz w:val="20"/>
        </w:rPr>
        <w:t xml:space="preserve">June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we executed a Fifth Amendment to our credit facility that extends the maturity date of our credit facility from </w:t>
      </w:r>
      <w:r>
        <w:rPr>
          <w:rStyle w:val="Emphasis"/>
          <w:rFonts w:ascii="Times New Roman" w:hAnsi="Times New Roman"/>
          <w:caps w:val="false"/>
          <w:smallCaps w:val="false"/>
          <w:sz w:val="20"/>
        </w:rPr>
        <w:t xml:space="preserve">May 23,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23, 2025. </w:t>
      </w:r>
      <w:r>
        <w:rPr>
          <w:rFonts w:ascii="Times New Roman" w:hAnsi="Times New Roman"/>
          <w:caps w:val="false"/>
          <w:smallCaps w:val="false"/>
          <w:sz w:val="20"/>
        </w:rPr>
        <w:t xml:space="preserve">The extension of the maturity date of our credit facility will allow us to finalize the negotiations of an amended credit agreement while minimizing the risk of the credit facility expiring before the new agreement can be executed. Wells Fargo has advised us that during the period of negotiation they will consider our request for a new credit facility, they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exercise any of their options due to our breach of the current Credit Agreement, and they reserve all of their rights.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successfully negotiate a new credit facility, or what the differences in amount, cost and other factors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sz w:val="20"/>
        </w:rPr>
        <w:t>As of </w:t>
      </w:r>
      <w:r>
        <w:rPr>
          <w:rStyle w:val="Emphasis"/>
          <w:rFonts w:ascii="Times New Roman" w:hAnsi="Times New Roman"/>
          <w:sz w:val="20"/>
        </w:rPr>
        <w:t xml:space="preserve"> March 31, 2025</w:t>
      </w:r>
      <w:r>
        <w:rPr>
          <w:rFonts w:ascii="Times New Roman" w:hAnsi="Times New Roman"/>
          <w:sz w:val="20"/>
        </w:rPr>
        <w:t>, we had $8.5 million of borrowing capacity available on our credit facility of which we had outstanding borrowings of $2.0 million.</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 Economic Dependency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had substantial net sales to certain customers during the periods shown in the following table. The loss of any of these customers, or a significant decline in (i) sales to these customers, (ii) the growth rate of sales to these customers, or (iii) these customers’ ability to make payments when due, each individually could have a material adverse impact on our net sales and net operating results. Net sales to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customer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consolidated net sales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4612" w:type="dxa"/>
        <w:jc w:val="left"/>
        <w:tblInd w:w="0" w:type="dxa"/>
        <w:tblLayout w:type="fixed"/>
        <w:tblCellMar>
          <w:top w:w="0" w:type="dxa"/>
          <w:left w:w="0" w:type="dxa"/>
          <w:bottom w:w="0" w:type="dxa"/>
          <w:right w:w="0" w:type="dxa"/>
        </w:tblCellMar>
      </w:tblPr>
      <w:tblGrid>
        <w:gridCol w:w="950"/>
        <w:gridCol w:w="60"/>
        <w:gridCol w:w="141"/>
        <w:gridCol w:w="669"/>
        <w:gridCol w:w="68"/>
        <w:gridCol w:w="68"/>
        <w:gridCol w:w="141"/>
        <w:gridCol w:w="669"/>
        <w:gridCol w:w="60"/>
        <w:gridCol w:w="60"/>
        <w:gridCol w:w="134"/>
        <w:gridCol w:w="635"/>
        <w:gridCol w:w="64"/>
        <w:gridCol w:w="64"/>
        <w:gridCol w:w="134"/>
        <w:gridCol w:w="635"/>
        <w:gridCol w:w="60"/>
      </w:tblGrid>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1</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33,457</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35,215</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2</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3,108</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6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13,604</w:t>
            </w:r>
          </w:p>
        </w:tc>
        <w:tc>
          <w:tcPr>
            <w:tcW w:w="60"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3</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3,007</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20"/>
              </w:rPr>
              <w:t>2,640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12,236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16,964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58,956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pPr>
      <w:r>
        <w:rPr>
          <w:rFonts w:ascii="Times New Roman" w:hAnsi="Times New Roman"/>
          <w:caps w:val="false"/>
          <w:smallCaps w:val="false"/>
          <w:sz w:val="20"/>
        </w:rPr>
        <w:t xml:space="preserve">(a) Sales were less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the respective period's consolidated net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Accounts receivable from these customers totaled $7.8 million at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$12.3 million at </w:t>
      </w:r>
      <w:r>
        <w:rPr>
          <w:rStyle w:val="Emphasis"/>
          <w:rFonts w:ascii="Times New Roman" w:hAnsi="Times New Roman"/>
          <w:caps w:val="false"/>
          <w:smallCaps w:val="false"/>
          <w:sz w:val="20"/>
        </w:rPr>
        <w:t>June 30, 2024</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buy certain products, including beta-alanine, from a limited number of raw material suppliers who meet our quality standards. The loss of any of these suppliers could have a material adverse impact on our net sales and results of operations. Raw material purchases from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supplier representing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or more of the respective period’s total raw material purchases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860"/>
        <w:gridCol w:w="60"/>
        <w:gridCol w:w="164"/>
        <w:gridCol w:w="637"/>
        <w:gridCol w:w="78"/>
        <w:gridCol w:w="78"/>
        <w:gridCol w:w="164"/>
        <w:gridCol w:w="637"/>
        <w:gridCol w:w="60"/>
        <w:gridCol w:w="60"/>
        <w:gridCol w:w="134"/>
        <w:gridCol w:w="635"/>
        <w:gridCol w:w="64"/>
        <w:gridCol w:w="64"/>
        <w:gridCol w:w="134"/>
        <w:gridCol w:w="635"/>
        <w:gridCol w:w="60"/>
      </w:tblGrid>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Supplier 1</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10,018</w:t>
            </w:r>
          </w:p>
        </w:tc>
        <w:tc>
          <w:tcPr>
            <w:tcW w:w="60" w:type="dxa"/>
            <w:tcBorders/>
            <w:shd w:fill="CCEEFF" w:val="clear"/>
            <w:vAlign w:val="center"/>
          </w:tcPr>
          <w:p>
            <w:pPr>
              <w:pStyle w:val="TableContents"/>
              <w:bidi w:val="0"/>
              <w:spacing w:before="0" w:after="283"/>
              <w:jc w:val="left"/>
              <w:rPr/>
            </w:pPr>
            <w:r>
              <w:rPr/>
              <w:t> </w:t>
            </w:r>
          </w:p>
        </w:tc>
      </w:tr>
      <w:tr>
        <w:trPr/>
        <w:tc>
          <w:tcPr>
            <w:tcW w:w="8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H. Segment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business consists of two segments for financial reporting purposes.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segments are identified as (i) private-label contract manufacturing, which primarily relates to the provision of private-label contract manufacturing services to companies that market and distribute nutritional supplements and other health care products, and (ii) patent and trademark licensing, which primarily includes direct raw material sales and royalty income from our license and supply agreements associated with the sale and use of beta-alanine under our CarnoSyn® and SR CarnoSyn® trademarks and our TriBsyn™ tradename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evaluate performance of these segments based on a number of factors. The primary performance measures for each segment are net sales and income or loss from operations before the allocation of certain corporate level expenses. Operating income or loss for each segment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corporate general and administrative expenses, interest expense and other miscellaneous income and expense items. Corporate general and administrative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human resources, corporate legal, finance, information technology, and other corporate level related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allocated to any segment. Transfers of raw materials between segments are recorded at cost. The accounting policies of our segments are the same as those described in the summary of significant accounting policies in Note A above and in the consolidated financial statements included in our </w:t>
      </w:r>
      <w:r>
        <w:rPr>
          <w:rStyle w:val="Emphasis"/>
          <w:rFonts w:ascii="Times New Roman" w:hAnsi="Times New Roman"/>
          <w:caps w:val="false"/>
          <w:smallCaps w:val="false"/>
          <w:sz w:val="20"/>
        </w:rPr>
        <w:t>2024</w:t>
      </w:r>
      <w:r>
        <w:rPr>
          <w:rFonts w:ascii="Times New Roman" w:hAnsi="Times New Roman"/>
          <w:caps w:val="false"/>
          <w:smallCaps w:val="false"/>
          <w:sz w:val="20"/>
        </w:rPr>
        <w:t> Annual Report.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by business segment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6637" w:type="dxa"/>
        <w:jc w:val="left"/>
        <w:tblInd w:w="0" w:type="dxa"/>
        <w:tblLayout w:type="fixed"/>
        <w:tblCellMar>
          <w:top w:w="0" w:type="dxa"/>
          <w:left w:w="0" w:type="dxa"/>
          <w:bottom w:w="0" w:type="dxa"/>
          <w:right w:w="0" w:type="dxa"/>
        </w:tblCellMar>
      </w:tblPr>
      <w:tblGrid>
        <w:gridCol w:w="2975"/>
        <w:gridCol w:w="60"/>
        <w:gridCol w:w="141"/>
        <w:gridCol w:w="669"/>
        <w:gridCol w:w="68"/>
        <w:gridCol w:w="68"/>
        <w:gridCol w:w="141"/>
        <w:gridCol w:w="669"/>
        <w:gridCol w:w="60"/>
        <w:gridCol w:w="60"/>
        <w:gridCol w:w="134"/>
        <w:gridCol w:w="635"/>
        <w:gridCol w:w="64"/>
        <w:gridCol w:w="64"/>
        <w:gridCol w:w="134"/>
        <w:gridCol w:w="635"/>
        <w:gridCol w:w="60"/>
      </w:tblGrid>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label contract manufacturing</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77,718</w:t>
            </w:r>
          </w:p>
        </w:tc>
        <w:tc>
          <w:tcPr>
            <w:tcW w:w="6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w:t>
            </w:r>
          </w:p>
        </w:tc>
        <w:tc>
          <w:tcPr>
            <w:tcW w:w="6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84,307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520" w:type="dxa"/>
        <w:jc w:val="left"/>
        <w:tblInd w:w="0" w:type="dxa"/>
        <w:tblLayout w:type="fixed"/>
        <w:tblCellMar>
          <w:top w:w="0" w:type="dxa"/>
          <w:left w:w="0" w:type="dxa"/>
          <w:bottom w:w="0" w:type="dxa"/>
          <w:right w:w="0" w:type="dxa"/>
        </w:tblCellMar>
      </w:tblPr>
      <w:tblGrid>
        <w:gridCol w:w="3815"/>
        <w:gridCol w:w="60"/>
        <w:gridCol w:w="148"/>
        <w:gridCol w:w="648"/>
        <w:gridCol w:w="95"/>
        <w:gridCol w:w="71"/>
        <w:gridCol w:w="148"/>
        <w:gridCol w:w="648"/>
        <w:gridCol w:w="80"/>
        <w:gridCol w:w="60"/>
        <w:gridCol w:w="141"/>
        <w:gridCol w:w="614"/>
        <w:gridCol w:w="90"/>
        <w:gridCol w:w="67"/>
        <w:gridCol w:w="141"/>
        <w:gridCol w:w="614"/>
        <w:gridCol w:w="80"/>
      </w:tblGrid>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Income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4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label contract manufacturing</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95"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 of reportable segments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95"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6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6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expenses not allocated to segments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(6,805</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Loss from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4924" w:type="dxa"/>
        <w:jc w:val="left"/>
        <w:tblInd w:w="0" w:type="dxa"/>
        <w:tblLayout w:type="fixed"/>
        <w:tblCellMar>
          <w:top w:w="0" w:type="dxa"/>
          <w:left w:w="0" w:type="dxa"/>
          <w:bottom w:w="0" w:type="dxa"/>
          <w:right w:w="0" w:type="dxa"/>
        </w:tblCellMar>
      </w:tblPr>
      <w:tblGrid>
        <w:gridCol w:w="2990"/>
        <w:gridCol w:w="60"/>
        <w:gridCol w:w="133"/>
        <w:gridCol w:w="741"/>
        <w:gridCol w:w="60"/>
        <w:gridCol w:w="60"/>
        <w:gridCol w:w="125"/>
        <w:gridCol w:w="695"/>
        <w:gridCol w:w="60"/>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Private-label contract manufacturing</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127,786</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Patent and trademark licensing</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34,556</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private-label contract manufacturing products are sold both in the U.S. and in markets outside the U.S., including Europe, Canada, Australia, New Zealand, Mexico, and Asia. Our primary markets outside the U.S. are Europe and Asia. Our patent and trademark licensing activities are primarily based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by geographic region, based on the customers’ location, were as follows (in thousands):</w:t>
      </w:r>
    </w:p>
    <w:p>
      <w:pPr>
        <w:pStyle w:val="TextBody"/>
        <w:bidi w:val="0"/>
        <w:spacing w:before="0" w:after="0"/>
        <w:ind w:left="0" w:right="0" w:hanging="0"/>
        <w:jc w:val="both"/>
        <w:rPr>
          <w:caps w:val="false"/>
          <w:smallCaps w:val="false"/>
        </w:rPr>
      </w:pPr>
      <w:r>
        <w:rPr>
          <w:caps w:val="false"/>
          <w:smallCaps w:val="false"/>
        </w:rPr>
        <w:t> </w:t>
      </w:r>
    </w:p>
    <w:tbl>
      <w:tblPr>
        <w:tblW w:w="6622" w:type="dxa"/>
        <w:jc w:val="left"/>
        <w:tblInd w:w="0" w:type="dxa"/>
        <w:tblLayout w:type="fixed"/>
        <w:tblCellMar>
          <w:top w:w="0" w:type="dxa"/>
          <w:left w:w="0" w:type="dxa"/>
          <w:bottom w:w="0" w:type="dxa"/>
          <w:right w:w="0" w:type="dxa"/>
        </w:tblCellMar>
      </w:tblPr>
      <w:tblGrid>
        <w:gridCol w:w="2960"/>
        <w:gridCol w:w="60"/>
        <w:gridCol w:w="141"/>
        <w:gridCol w:w="669"/>
        <w:gridCol w:w="68"/>
        <w:gridCol w:w="68"/>
        <w:gridCol w:w="141"/>
        <w:gridCol w:w="669"/>
        <w:gridCol w:w="60"/>
        <w:gridCol w:w="60"/>
        <w:gridCol w:w="134"/>
        <w:gridCol w:w="635"/>
        <w:gridCol w:w="64"/>
        <w:gridCol w:w="64"/>
        <w:gridCol w:w="134"/>
        <w:gridCol w:w="635"/>
        <w:gridCol w:w="6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8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59,635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56,990</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Markets outside of the United States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10,516</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36,359</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27,317</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Products manufactured by our Swiss subsidiary ("NAIE") accounted for 84% of net sales in markets outside the U.S.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82%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Products manufactured by NAIE accounted for 68% of net sales in markets outside the U.S.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r>
        <w:rPr>
          <w:rFonts w:ascii="Times New Roman" w:hAnsi="Times New Roman"/>
          <w:caps w:val="false"/>
          <w:smallCaps w:val="false"/>
          <w:sz w:val="20"/>
        </w:rPr>
        <w:t xml:space="preserve">, and 76%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Long-lived assets by geographic region, based on the location of the company's facilities at which they were located or made,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0" w:type="dxa"/>
          <w:right w:w="0" w:type="dxa"/>
        </w:tblCellMar>
      </w:tblPr>
      <w:tblGrid>
        <w:gridCol w:w="2030"/>
        <w:gridCol w:w="60"/>
        <w:gridCol w:w="234"/>
        <w:gridCol w:w="1105"/>
        <w:gridCol w:w="60"/>
        <w:gridCol w:w="60"/>
        <w:gridCol w:w="208"/>
        <w:gridCol w:w="981"/>
        <w:gridCol w:w="60"/>
      </w:tblGrid>
      <w:tr>
        <w:trPr/>
        <w:tc>
          <w:tcPr>
            <w:tcW w:w="2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78,146</w:t>
            </w:r>
          </w:p>
        </w:tc>
        <w:tc>
          <w:tcPr>
            <w:tcW w:w="60" w:type="dxa"/>
            <w:tcBorders/>
            <w:shd w:fill="CCEEFF" w:val="clear"/>
            <w:vAlign w:val="center"/>
          </w:tcPr>
          <w:p>
            <w:pPr>
              <w:pStyle w:val="TableContents"/>
              <w:bidi w:val="0"/>
              <w:spacing w:before="0" w:after="283"/>
              <w:jc w:val="left"/>
              <w:rPr/>
            </w:pPr>
            <w:r>
              <w:rPr/>
              <w:t> </w:t>
            </w:r>
          </w:p>
        </w:tc>
      </w:tr>
      <w:tr>
        <w:trPr/>
        <w:tc>
          <w:tcPr>
            <w:tcW w:w="20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17,602</w:t>
            </w:r>
          </w:p>
        </w:tc>
        <w:tc>
          <w:tcPr>
            <w:tcW w:w="60" w:type="dxa"/>
            <w:tcBorders/>
            <w:shd w:fill="FFFFFF" w:val="cle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95,748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assets by geographic region, based on the location of the Company's facilities at which they were located or made,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868" w:type="dxa"/>
        <w:jc w:val="left"/>
        <w:tblInd w:w="0" w:type="dxa"/>
        <w:tblLayout w:type="fixed"/>
        <w:tblCellMar>
          <w:top w:w="0" w:type="dxa"/>
          <w:left w:w="0" w:type="dxa"/>
          <w:bottom w:w="0" w:type="dxa"/>
          <w:right w:w="0" w:type="dxa"/>
        </w:tblCellMar>
      </w:tblPr>
      <w:tblGrid>
        <w:gridCol w:w="1100"/>
        <w:gridCol w:w="60"/>
        <w:gridCol w:w="204"/>
        <w:gridCol w:w="1135"/>
        <w:gridCol w:w="60"/>
        <w:gridCol w:w="60"/>
        <w:gridCol w:w="181"/>
        <w:gridCol w:w="1008"/>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2024</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118,878</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43,464</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162,342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Capital expenditures by geographic region, based on the location of the Company's facilities at which they were located or made,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011" w:type="dxa"/>
        <w:jc w:val="left"/>
        <w:tblInd w:w="0" w:type="dxa"/>
        <w:tblLayout w:type="fixed"/>
        <w:tblCellMar>
          <w:top w:w="0" w:type="dxa"/>
          <w:left w:w="0" w:type="dxa"/>
          <w:bottom w:w="0" w:type="dxa"/>
          <w:right w:w="0" w:type="dxa"/>
        </w:tblCellMar>
      </w:tblPr>
      <w:tblGrid>
        <w:gridCol w:w="2225"/>
        <w:gridCol w:w="60"/>
        <w:gridCol w:w="155"/>
        <w:gridCol w:w="604"/>
        <w:gridCol w:w="74"/>
        <w:gridCol w:w="74"/>
        <w:gridCol w:w="155"/>
        <w:gridCol w:w="604"/>
        <w:gridCol w:w="6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Nine Months Ended</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Europe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2,159</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determine our quarterly provision for income taxes, we use an estimated annual effective tax rate, which is based on expected annual income (or loss), statutory tax rates and tax planning opportunities available in the various jurisdictions to which we are subject. Certain significant or unusual items are separately recognized in the quarter in which they occur and can be a source of variability in the effective tax rate from quarter to quarter. We recognize interest and penalties related to uncertain tax positions, if any, as an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was 17.3%, and our effective tax rate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was 19.8%. Our effective tax rate for the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was 19.7% and our effective tax rate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was 20.1%. Our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differ from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U.S. federal statutory rate of 21% primarily due to restricted stock vesting, Global Intangible Low-taxed Income, forecasted research and development tax credits and foreign income tax rate differential. Our effective tax rates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xml:space="preserve"> differ from the fiscal </w:t>
      </w:r>
      <w:r>
        <w:rPr>
          <w:rStyle w:val="Emphasis"/>
          <w:rFonts w:ascii="Times New Roman" w:hAnsi="Times New Roman"/>
          <w:caps w:val="false"/>
          <w:smallCaps w:val="false"/>
          <w:sz w:val="20"/>
        </w:rPr>
        <w:t>2024</w:t>
      </w:r>
      <w:r>
        <w:rPr>
          <w:rFonts w:ascii="Times New Roman" w:hAnsi="Times New Roman"/>
          <w:caps w:val="false"/>
          <w:smallCaps w:val="false"/>
          <w:sz w:val="20"/>
        </w:rPr>
        <w:t> U.S. federal statutory rate of 21% primarily due to the vesting of restricted stock shares granted to employees and forecasted research and development tax credits.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We record valuation allowances to reduce our deferred tax assets to an amount we believe is more likely than </w:t>
      </w:r>
      <w:r>
        <w:rPr>
          <w:rStyle w:val="Emphasis"/>
          <w:rFonts w:ascii="Times New Roman;Times;serif" w:hAnsi="Times New Roman;Times;serif"/>
          <w:sz w:val="20"/>
        </w:rPr>
        <w:t>not</w:t>
      </w:r>
      <w:r>
        <w:rPr>
          <w:rFonts w:ascii="Times New Roman;Times;serif" w:hAnsi="Times New Roman;Times;serif"/>
          <w:sz w:val="20"/>
        </w:rPr>
        <w:t xml:space="preserve"> to be realized. In assessing the realizability of deferred tax assets, management considers whether it is more likely than </w:t>
      </w:r>
      <w:r>
        <w:rPr>
          <w:rStyle w:val="Emphasis"/>
          <w:rFonts w:ascii="Times New Roman;Times;serif" w:hAnsi="Times New Roman;Times;serif"/>
          <w:sz w:val="20"/>
        </w:rPr>
        <w:t>not</w:t>
      </w:r>
      <w:r>
        <w:rPr>
          <w:rFonts w:ascii="Times New Roman;Times;serif" w:hAnsi="Times New Roman;Times;serif"/>
          <w:sz w:val="20"/>
        </w:rPr>
        <w:t xml:space="preserve"> that some portion or all of the deferred tax assets will be realized. The ultimate realization of deferred tax assets is dependent upon the generation of future taxable income during the periods in which those temporary differences become deductible. 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nine</w:t>
      </w:r>
      <w:r>
        <w:rPr>
          <w:rFonts w:ascii="Times New Roman;Times;serif" w:hAnsi="Times New Roman;Times;serif"/>
          <w:sz w:val="20"/>
        </w:rPr>
        <w:t xml:space="preserve"> months ended </w:t>
      </w:r>
      <w:r>
        <w:rPr>
          <w:rStyle w:val="Emphasis"/>
          <w:rFonts w:ascii="Times New Roman;Times;serif" w:hAnsi="Times New Roman;Times;serif"/>
          <w:sz w:val="20"/>
        </w:rPr>
        <w:t>March 31, 2025</w:t>
      </w:r>
      <w:r>
        <w:rPr>
          <w:rFonts w:ascii="Times New Roman;Times;serif" w:hAnsi="Times New Roman;Times;serif"/>
          <w:sz w:val="20"/>
        </w:rPr>
        <w:t>, there was no change to our valuation allowance for our deferred tax assets.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J. Treasury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times we purchase our shares under a stock repurchase plan (“Repurchase Plan”) authorized by the Board of Directors. The current total authorized repurchase amount is $18.0 million and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had approximately $716,000 remaining available under the Repurchase Plan. Under the Repurchase Plan,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from time to time, purchase shares of our common stock, depending upon certain market conditions, in open market or privately negotiated transactions. The Fourth Amendment to the Credit Agreement with Wells Fargo effective </w:t>
      </w:r>
      <w:r>
        <w:rPr>
          <w:rStyle w:val="Emphasis"/>
          <w:rFonts w:ascii="Times New Roman" w:hAnsi="Times New Roman"/>
          <w:caps w:val="false"/>
          <w:smallCaps w:val="false"/>
          <w:sz w:val="20"/>
        </w:rPr>
        <w:t xml:space="preserve">February 13, 2024, </w:t>
      </w:r>
      <w:r>
        <w:rPr>
          <w:rFonts w:ascii="Times New Roman" w:hAnsi="Times New Roman"/>
          <w:caps w:val="false"/>
          <w:smallCaps w:val="false"/>
          <w:sz w:val="20"/>
        </w:rPr>
        <w:t>currently prohibits most stock repurchases (see Note F). Until that restriction is modified or removed,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purchase our shares other than our longstanding practice of purchasing shares from our employees in exchange for paying the employees’ withholding requirements upon vesting of restricted stock held by the employee. This practice of covering withholding requirements is allowed in the Fourth Amendment to the Credit Agreement with Wells Fargo.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nine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 repurchases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March 31, 2024</w:t>
      </w:r>
      <w:r>
        <w:rPr>
          <w:rFonts w:ascii="Times New Roman" w:hAnsi="Times New Roman"/>
          <w:caps w:val="false"/>
          <w:smallCaps w:val="false"/>
          <w:sz w:val="20"/>
        </w:rPr>
        <w:t> were as follows:</w:t>
      </w:r>
    </w:p>
    <w:p>
      <w:pPr>
        <w:pStyle w:val="TextBody"/>
        <w:bidi w:val="0"/>
        <w:spacing w:before="0" w:after="0"/>
        <w:ind w:left="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4820"/>
        <w:gridCol w:w="60"/>
        <w:gridCol w:w="60"/>
        <w:gridCol w:w="590"/>
        <w:gridCol w:w="60"/>
        <w:gridCol w:w="60"/>
        <w:gridCol w:w="278"/>
        <w:gridCol w:w="851"/>
        <w:gridCol w:w="60"/>
        <w:gridCol w:w="60"/>
        <w:gridCol w:w="570"/>
        <w:gridCol w:w="1534"/>
        <w:gridCol w:w="60"/>
      </w:tblGrid>
      <w:tr>
        <w:trPr/>
        <w:tc>
          <w:tcPr>
            <w:tcW w:w="4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Cost (in thousands)</w:t>
            </w:r>
          </w:p>
        </w:tc>
        <w:tc>
          <w:tcPr>
            <w:tcW w:w="60" w:type="dxa"/>
            <w:tcBorders/>
            <w:shd w:fill="FFFFFF" w:val="clear"/>
            <w:vAlign w:val="center"/>
          </w:tcPr>
          <w:p>
            <w:pPr>
              <w:pStyle w:val="TableContents"/>
              <w:bidi w:val="0"/>
              <w:spacing w:before="0" w:after="283"/>
              <w:jc w:val="left"/>
              <w:rPr/>
            </w:pPr>
            <w:r>
              <w:rPr/>
              <w:t> </w:t>
            </w:r>
          </w:p>
        </w:tc>
      </w:tr>
      <w:tr>
        <w:trPr/>
        <w:tc>
          <w:tcPr>
            <w:tcW w:w="48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acquired from employees for restricted stock vesting</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60" w:type="dxa"/>
            <w:tcBorders/>
            <w:shd w:fill="CCEEFF" w:val="clear"/>
            <w:vAlign w:val="center"/>
          </w:tcPr>
          <w:p>
            <w:pPr>
              <w:pStyle w:val="TableContents"/>
              <w:bidi w:val="0"/>
              <w:spacing w:before="0" w:after="283"/>
              <w:jc w:val="left"/>
              <w:rPr/>
            </w:pPr>
            <w:r>
              <w:rPr/>
              <w:t> </w:t>
            </w:r>
          </w:p>
        </w:tc>
      </w:tr>
      <w:tr>
        <w:trPr/>
        <w:tc>
          <w:tcPr>
            <w:tcW w:w="48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bottom w:w="28" w:type="dxa"/>
            </w:tcM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Shares acquired from employees for restricted stock vesting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to us by the related employees and in return we pay each employee’s required tax withholding resulting from the vesting of restricted shares. The valuation of the shares acquired and thereby the number of shares returned to us is calculated based on the closing share price on the date the shares vested.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K. Derivatives and Hedging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gains and losses resulting from fluctuations in foreign currency exchange rates relating to product sales denominated in foreign currencies and to other transactions of NAIE, our foreign subsidiary. As part of our overall strategy to manage the level of exposure to the risk of fluctuations in foreign currency exchange rates,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use foreign exchange contracts in the form of forward contracts. To the extent we enter into such contracts,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any such contracts will be effective hedges against our 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had forward contracts designated as cash flow hedges primarily to protect against the foreign exchange risks inherent in our forecasted sales of products at prices denominated in currencies other than the U.S. Dollar. These contracts are expected to be settled through </w:t>
      </w:r>
      <w:r>
        <w:rPr>
          <w:rStyle w:val="Emphasis"/>
          <w:rFonts w:ascii="Times New Roman" w:hAnsi="Times New Roman"/>
          <w:caps w:val="false"/>
          <w:smallCaps w:val="false"/>
          <w:sz w:val="20"/>
        </w:rPr>
        <w:t>December 2025.</w:t>
      </w:r>
      <w:r>
        <w:rPr>
          <w:rFonts w:ascii="Times New Roman" w:hAnsi="Times New Roman"/>
          <w:caps w:val="false"/>
          <w:smallCaps w:val="false"/>
          <w:sz w:val="20"/>
        </w:rPr>
        <w:t xml:space="preserve"> For derivative instruments that are designated and qualify as cash flow hedges, we record the effective portion of the gain or loss on the derivative in accumulated other comprehensive income (“OCI”) as a separate component of stockholders’ equity and subsequently reclassify these amounts into earnings in the period during which the hedged sales of products are recognized.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designated as cash flow hedges, hedge effectiveness is measured using the spot rate. Changes in the spot-forward differential are excluded from the test of hedge effectiveness and are recorded currently in earnings as revenue. We measure effectiveness by comparing the cumulative change in the hedge contract with the cumulative change in the hedged item. No hedging relationships were terminated as a result of ineffective hedging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monitor the probability of forecasted transactions as part of the hedge effectiveness testing on a quarterly basis.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March 31, 2024</w:t>
      </w:r>
      <w:r>
        <w:rPr>
          <w:rFonts w:ascii="Times New Roman" w:hAnsi="Times New Roman"/>
          <w:caps w:val="false"/>
          <w:smallCaps w:val="false"/>
          <w:sz w:val="20"/>
        </w:rPr>
        <w:t>, we did not have any losses or gains related to the ineffective portion of our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notional amounts of our foreign exchange contracts designated as cash flow hedges were approximately $17.4 million (EUR 15.8 million).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a net gain of approximately $30,000, offset by approximately $6,000 of a deferred tax expense, related to derivative instruments designated as cash flow hedges was recorded in OCI. It is expected the entire amount will be reclassified into earnings in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along with the earnings effects of the related forecasted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foreign currency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changes in the fair value of the hedge are recorded directly to foreign exchange gain or loss in other income in an effort to offset the change in valuation of the underlying hedged item.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we entered into forward contracts in order to hedge foreign exchange risk associated with our lease liability at NAIE, which is denominated in Swiss Francs (CHF). As of </w:t>
      </w:r>
      <w:r>
        <w:rPr>
          <w:rStyle w:val="Emphasis"/>
          <w:rFonts w:ascii="Times New Roman" w:hAnsi="Times New Roman"/>
          <w:caps w:val="false"/>
          <w:smallCaps w:val="false"/>
          <w:sz w:val="20"/>
        </w:rPr>
        <w:t>March 31, 2025</w:t>
      </w:r>
      <w:r>
        <w:rPr>
          <w:rFonts w:ascii="Times New Roman" w:hAnsi="Times New Roman"/>
          <w:caps w:val="false"/>
          <w:smallCaps w:val="false"/>
          <w:sz w:val="20"/>
        </w:rPr>
        <w:t xml:space="preserve">, the notional amounts of our foreign exchange contracts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cash flow hedges were approximately $11.2 million (CHF 9.8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are exposed to interest rate fluctuations related to our $10.0 million Term Note with Wells Fargo, which carries a variable interest rate of 1.80% above the SOFR rolling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-day average. To manage our exposure to this variable rate, on </w:t>
      </w:r>
      <w:r>
        <w:rPr>
          <w:rStyle w:val="Emphasis"/>
          <w:rFonts w:ascii="Times New Roman" w:hAnsi="Times New Roman"/>
          <w:caps w:val="false"/>
          <w:smallCaps w:val="false"/>
          <w:sz w:val="20"/>
        </w:rPr>
        <w:t xml:space="preserve">August 23, 2021, </w:t>
      </w:r>
      <w:r>
        <w:rPr>
          <w:rFonts w:ascii="Times New Roman" w:hAnsi="Times New Roman"/>
          <w:caps w:val="false"/>
          <w:smallCaps w:val="false"/>
          <w:sz w:val="20"/>
        </w:rPr>
        <w:t xml:space="preserve">we entered into a floored interest rate swap that fixed our all-in rate on this loan to 2.4%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 of the term loan. Fluctuations in the relation of our contractual swap rate to current market rates are recorded as an asset or liability with an offset to OCI at the end of each reporting period. Interest expense is adjusted for the difference between the actual SOFR spread and the swap contractual rate such that our effective interest expense for each period is equal to our hedged rate of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This interest rate swap contract expired on </w:t>
      </w:r>
      <w:r>
        <w:rPr>
          <w:rStyle w:val="Emphasis"/>
          <w:rFonts w:ascii="Times New Roman" w:hAnsi="Times New Roman"/>
          <w:caps w:val="false"/>
          <w:smallCaps w:val="false"/>
          <w:sz w:val="20"/>
        </w:rPr>
        <w:t>September 3, 2024.</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From time to time, we become involved in various investigations, claims and legal proceedings that arise in the ordinary course of our business. These matters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relate to product liability, employment, intellectual property, regulatory, contract or other matters. The resolution of these matters as they arise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subject to various uncertainties and, even if such claims are without merit, could result in the expenditure of significant financial and managerial resources. While unfavorable outcomes are possible, based on available information, we currently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the resolution of these matters will result in a material adverse effect on our business, consolidated financial condition, or results of operations. However, a settlement payment or unfavorable outcome could be greater than we currently anticipate and if so, could adversely impact our results of operations. Our evaluation of the likely impact of these actions could change in the future, and we could have unfavorable outcomes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 Retention Tax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recorded a $3.5 million Employee Retention Tax Credit ("ERTC") net refund associated with the Coronavirus Aid, Relief, and Economic Security Act signed into law in </w:t>
      </w:r>
      <w:r>
        <w:rPr>
          <w:rStyle w:val="Emphasis"/>
          <w:rFonts w:ascii="Times New Roman" w:hAnsi="Times New Roman"/>
          <w:caps w:val="false"/>
          <w:smallCaps w:val="false"/>
          <w:sz w:val="20"/>
        </w:rPr>
        <w:t xml:space="preserve">March 2020 </w:t>
      </w:r>
      <w:r>
        <w:rPr>
          <w:rFonts w:ascii="Times New Roman" w:hAnsi="Times New Roman"/>
          <w:caps w:val="false"/>
          <w:smallCaps w:val="false"/>
          <w:sz w:val="20"/>
        </w:rPr>
        <w:t xml:space="preserve">and extended with the Taxpayer Certainty and Disaster Tax Relief Act of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and the American Rescue Plan Act of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These acts provided numerous tax provisions and other stimulus measures, including the ERTC. Under these expanded measures, we determined during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that we qualified for the ERTC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and filed the required amended payroll tax returns to claim this refund.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the Internal Revenue Service ("IRS") sent us a </w:t>
      </w:r>
      <w:r>
        <w:rPr>
          <w:rStyle w:val="Emphasis"/>
          <w:rFonts w:ascii="Times New Roman" w:hAnsi="Times New Roman"/>
          <w:caps w:val="false"/>
          <w:smallCaps w:val="false"/>
          <w:sz w:val="20"/>
        </w:rPr>
        <w:t>105c</w:t>
      </w:r>
      <w:r>
        <w:rPr>
          <w:rFonts w:ascii="Times New Roman" w:hAnsi="Times New Roman"/>
          <w:caps w:val="false"/>
          <w:smallCaps w:val="false"/>
          <w:sz w:val="20"/>
        </w:rPr>
        <w:t xml:space="preserve"> letter informing us that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we qualify for the tax credit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We disagree with the position the IRS noted in their denial letter, and we have responded to their letter to contest their claim. Although we had received this initial denial from the IRS, we believe we are entitled to the refund for these claims and therefore we have not made any allowances against the accrual for the related refund that was recorded in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received any additional correspondence from the IRS associated with our appeal related to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calendar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but in </w:t>
      </w:r>
      <w:r>
        <w:rPr>
          <w:rStyle w:val="Emphasis"/>
          <w:rFonts w:ascii="Times New Roman" w:hAnsi="Times New Roman"/>
          <w:caps w:val="false"/>
          <w:smallCaps w:val="false"/>
          <w:sz w:val="20"/>
        </w:rPr>
        <w:t xml:space="preserve">April 2025, </w:t>
      </w:r>
      <w:r>
        <w:rPr>
          <w:rFonts w:ascii="Times New Roman" w:hAnsi="Times New Roman"/>
          <w:caps w:val="false"/>
          <w:smallCaps w:val="false"/>
          <w:sz w:val="20"/>
        </w:rPr>
        <w:t xml:space="preserve">we collected the refund amounts associated with our ERTC filings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quarters of calendar year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which totaled $2.9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Geopolitical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Management is monitoring the war in Ukraine, and the armed conflicts in Gaza, Lebanon and Syria, and potential economic effects from these events as they develop. These geographical areas account for a small portion of our global net sales, but we do source multiple raw materials from Israel.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anticipate these conflicts will have a significant impact on our net sales. We are continually evaluating options for alternative ingredient sources and/or holding safety stock of impacted materials to limit any impact. There are further concerns regarding consumer purchasing and consumption behavior, increases in global shipping expenses, greater volatility in foreign exchange and interest rates, and other unforeseen business disruptions due to the current global geopolitical tensions. We will continue to evaluate impacts of these developments on our customers, suppliers, employees,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Trade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President of the United States has recently ordered U.S. government agencies to enforce new and increased tariffs on a wide range of goods and materials imported from foreign trade partners. Some tariffs on most foreign trade partners have been presently deferred, and details of future tariff restrictions continuously evolve. Current and future implementation of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products and applications, including ingredients we or our customers require for their products. These goods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beta-alanine. The commercialization of our beta-alanine patent estate depends on the availability of the raw material beta-alanine. In response, China and other governments have imposed tariffs on certain American products. The resulting tariffs could have a significant adverse effect on our customers' businesses, the availability of beta-alanine, and the cost of our products. While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know how potential increased tariffs will be imposed, or how any tariffs will impact our business, we believe the imposition of additional tariffs by the U.S. or other governments on products or ingredients we use in the products we manufacture could adversely impact our customers as a result of increased product costs, and such increased costs could have an adverse impact on the availability of beta-alanine, the licensing of our patents and trademarks and our distribution of this raw material. This could adversely impact our ability to license our patents and trademarks, our ability to sell beta-alanine, and our customers’ ability to compete in the marketplace, reducing demand for our products, and products we manufacture for our customers. Any of these events could have a material adverse effect on our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As a contract manufacturer, we pass through material cost increases to our customers, including increases associated with tariffs. We also work with our customers to identify potential alternative supply sources for key ingredients to help mitigate the impact tariffs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have on the cost of their products. We will continue to evaluate the impact of imposed trade tariffs on our customers, suppliers and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11,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we purchased three forward contracts designated and effective as cash flow hedges to protect against the foreign currency exchange risk inherent in a portion of our forecasted sales transactions denominated in Euros.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contracts expire quarterly beginning </w:t>
      </w:r>
      <w:r>
        <w:rPr>
          <w:rStyle w:val="Emphasis"/>
          <w:rFonts w:ascii="Times New Roman" w:hAnsi="Times New Roman"/>
          <w:caps w:val="false"/>
          <w:smallCaps w:val="false"/>
          <w:sz w:val="20"/>
        </w:rPr>
        <w:t>December 2025</w:t>
      </w:r>
      <w:r>
        <w:rPr>
          <w:rFonts w:ascii="Times New Roman" w:hAnsi="Times New Roman"/>
          <w:caps w:val="false"/>
          <w:smallCaps w:val="false"/>
          <w:sz w:val="20"/>
        </w:rPr>
        <w:t xml:space="preserve"> and ending </w:t>
      </w:r>
      <w:r>
        <w:rPr>
          <w:rStyle w:val="Emphasis"/>
          <w:rFonts w:ascii="Times New Roman" w:hAnsi="Times New Roman"/>
          <w:caps w:val="false"/>
          <w:smallCaps w:val="false"/>
          <w:sz w:val="20"/>
        </w:rPr>
        <w:t>April 2026.</w:t>
      </w:r>
      <w:r>
        <w:rPr>
          <w:rFonts w:ascii="Times New Roman" w:hAnsi="Times New Roman"/>
          <w:caps w:val="false"/>
          <w:smallCaps w:val="false"/>
          <w:sz w:val="20"/>
        </w:rPr>
        <w:t xml:space="preserve"> The forward contracts have a notional amount of EUR 8.1 million and a weighted average forward rate of 1.1514.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29, 2025, </w:t>
      </w:r>
      <w:r>
        <w:rPr>
          <w:rFonts w:ascii="Times New Roman" w:hAnsi="Times New Roman"/>
          <w:caps w:val="false"/>
          <w:smallCaps w:val="false"/>
          <w:sz w:val="20"/>
        </w:rPr>
        <w:t xml:space="preserve">we purchased three forward contracts designated and effective as cash flow hedges to protect against the foreign currency exchange risk inherent in a portion of our forecasted sales transactions denominated in Swiss Francs.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contracts expire quarterly beginning </w:t>
      </w:r>
      <w:r>
        <w:rPr>
          <w:rStyle w:val="Emphasis"/>
          <w:rFonts w:ascii="Times New Roman" w:hAnsi="Times New Roman"/>
          <w:caps w:val="false"/>
          <w:smallCaps w:val="false"/>
          <w:sz w:val="20"/>
        </w:rPr>
        <w:t>December 2025</w:t>
      </w:r>
      <w:r>
        <w:rPr>
          <w:rFonts w:ascii="Times New Roman" w:hAnsi="Times New Roman"/>
          <w:caps w:val="false"/>
          <w:smallCaps w:val="false"/>
          <w:sz w:val="20"/>
        </w:rPr>
        <w:t xml:space="preserve"> and ending </w:t>
      </w:r>
      <w:r>
        <w:rPr>
          <w:rStyle w:val="Emphasis"/>
          <w:rFonts w:ascii="Times New Roman" w:hAnsi="Times New Roman"/>
          <w:caps w:val="false"/>
          <w:smallCaps w:val="false"/>
          <w:sz w:val="20"/>
        </w:rPr>
        <w:t>April 2026.</w:t>
      </w:r>
      <w:r>
        <w:rPr>
          <w:rFonts w:ascii="Times New Roman" w:hAnsi="Times New Roman"/>
          <w:caps w:val="false"/>
          <w:smallCaps w:val="false"/>
          <w:sz w:val="20"/>
        </w:rPr>
        <w:t xml:space="preserve"> The forward contracts have a notional amount of CHF 4.3 million and a weighted average forward rate of 1.2458.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we executed a Fifth Amendment to our credit facility with Wells Fargo that extends the maturity date of our credit facility from </w:t>
      </w:r>
      <w:r>
        <w:rPr>
          <w:rStyle w:val="Emphasis"/>
          <w:rFonts w:ascii="Times New Roman" w:hAnsi="Times New Roman"/>
          <w:caps w:val="false"/>
          <w:smallCaps w:val="false"/>
          <w:sz w:val="20"/>
        </w:rPr>
        <w:t xml:space="preserve">May 23,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 xml:space="preserve">June 23, 2025. </w:t>
      </w:r>
      <w:r>
        <w:rPr>
          <w:rFonts w:ascii="Times New Roman" w:hAnsi="Times New Roman"/>
          <w:caps w:val="false"/>
          <w:smallCaps w:val="false"/>
          <w:sz w:val="20"/>
        </w:rPr>
        <w:t>The extension of the maturity date of our credit facility will allow us to finalize negotiations of an amended credit agreement while minimizing the risk of the credit facility expiring before the new agreement can be executed.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1" w:name="item2"/>
      <w:bookmarkEnd w:id="11"/>
      <w:r>
        <w:rPr>
          <w:rFonts w:ascii="Times New Roman" w:hAnsi="Times New Roman"/>
          <w:b/>
          <w:caps w:val="false"/>
          <w:smallCaps w:val="false"/>
          <w:sz w:val="20"/>
        </w:rPr>
        <w:t>ITEM 2.</w:t>
      </w:r>
      <w:r>
        <w:rPr>
          <w:rFonts w:ascii="Times New Roman" w:hAnsi="Times New Roman"/>
          <w:caps w:val="false"/>
          <w:smallCaps w:val="false"/>
          <w:sz w:val="20"/>
        </w:rPr>
        <w:t>     </w:t>
      </w:r>
      <w:r>
        <w:rPr>
          <w:rFonts w:ascii="Times New Roman" w:hAnsi="Times New Roman"/>
          <w:b/>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are intended to help you understand our financial condition and results of operations for the three and nine months ended March 31, 2025. You should read the following discussion and analysis together with our unaudited condensed consolidated financial statements and the notes to the condensed consolidated financial statements included under Item 1 in this Report, as well as the risk factors and other information included in our 2024 Annual Report and other reports and documents we file with the SEC. Our future financial condition and results of operations will vary from our historical financial condition and results of operations described below based on a variety of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The following overview does not address all of the matters covered in the other sections of this Item 2 or other items in this Report nor does it contain all of the information that may be important to our stockholders or the investing public. You should read this overview in conjunction with the other sections of this Item 2 and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business activity is providing private-label contract manufacturing services to companies that market and distribute vitamins, minerals, herbal and other nutritional supplements, as well as other health care products, to consumers both within and outside the U.S. Historically, our revenue has been largely dependent on sales to two or three private-label contract manufacturing customers and subject to variations in the timing of such customers’ orders, which in turn is impacted by such customers’ internal marketing programs, supply chain management, entry into new markets, new product introductions, the demand for such customers’ products, and general industry and economic conditions. Our revenue also includes raw material sales, and royalty and licensing revenue generated from license and supply agreements with third parties, granting them the right to use our patents, trademarks and other intellectual property in connection with the distribution and use of the ingredient known as beta-alanine sold under our CarnoSyn® and SR CarnoSyn® trademarks, and TriBsyn™ trade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cornerstone of our business strategy is to achieve long-term growth and profitability and to diversify our sales base. We have sought and expect to continue to seek to diversify our sales by developing relationships with additional, quality-oriented, private-label contract manufacturing customers, and commercializing our patent estate through sales of beta-alanine under our CarnoSyn® and SR CarnoSyn® trademarks, and our TriBsyn™ trade name, royalties from license agreements, and potentially additional contract manufacturing opportunities with licensees.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March 31, 2025, our net sales were 14% higher than in the nine months ended March 31, 2024. Private-label contract manufacturing sales increased 16% primarily due to increased orders from one of our larger customers and shipments to new customers. Revenue concentration for our largest private-label contract manufacturing customer as a percentage of total net sales for the nine months ended March 31, 2025 was 35%, and revenue concentration for our largest private-label contract manufacturing customer as a percentage of total net sales for the nine months ended March 31, 2024 was 42%. We expect our annualized fiscal 2025 revenue concentration for our largest customer to be lower as compared to our revenue concentration for our largest customer in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March 31, 2025, patent and trademark licensing revenue decreased 9% to $6.0 million compared to revenue of $6.6 million for the nine months ended March 31, 2024. The decrease in patent and trademark licensing revenue during the nine months ended March 31, 2025, was primarily due to lower material sales partially offset by decreased volume rebates.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invest in research and development for the expansion of our CarnoSyn® product offerings. We believe SR CarnoSyn® may provide a unique opportunity within the growing Wellness and Healthy Aging markets but acceptance of this product offering has been limited as we only offer this product in tablet form. In August 2024, we announced our new product called TriBsyn™. We believe TriBsyn™ may allow us to better penetrate the Wellness and Healthy Aging channel. This groundbreaking new product is a carnosine booster that utilizes CarnoSyn® beta-alanine and other patent-pending technology to increase beta-alanine bioavailability and absorption while effectively eliminating beta-alanine related paresthesia. This product is available as a raw material powder, which allows formulation flexibility for our customers. The elimination of paresthesia while maintaining efficacy of dosage creates a new opportunity to reach segments of the market that to date have been untapped, including older adults, vegetarians, and vegans. We believe our efforts to refine our formulations and product offerings will be positively received and result in significant opportunity for increased sales of our patented products. We are also working on several additional innovations we believe could lead to new patentable products for CarnoSyn® Brands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protect and grow our CarnoSyn® product offerings, we incurred litigation and patent compliance expenses of approximately $0.3 million during the nine months ended March 31, 2025 and $0.2 million during the nine months ended March 31, 2024. Our legal expense associated with our CarnoSyn® business has remained relatively low as we have no active related litigation, and our current run-rate of expenses is primarily related to maintenance of our patent and trademark estate. Our ability to maintain or further increase our beta-alanine royalty and licensing revenue will depend in large part on our ability to develop a market for our sustained release form of beta-alanine marketed under our SR CarnoSyn® trademark and our new TriBsyn™ product, maintain our patent rights, the availability and cost of the raw material when and in the amounts needed, the ability to expand distribution of beta-alanine to new and existing customers, and continued compliance by third parties with our license agreements and our patent, trademark and other intellectual property rights. During the remainder of fiscal 2025, we will continue our sales and marketing activities to consumers, customers, potential customers, and brand owners on multiple platforms to promote and reinforce the features and benefits of utilizing CarnoSyn®, SR CarnoSyn®, and TriBsyn™, beta-alanine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grew our net sales during the three and nine months ended March 31, 2025 as compared to the prior year periods, we continued to experience a loss from operations due primarily to the underutilization of our factory capacities, lower beta-alanine royalty and licensing revenue, and increased operating expenses primarily related to legal costs and selling, general and administrative salaries and wages. Manufacturing costs were also negatively impacted by increased labor, foreign currency exchange rates, supplies, rent, and freight costs. Although our overall sales forecast for the fourth quarter of fiscal 2025 includes an increase in sales as compared to fiscal 2024, we anticipate we will experience an overall net loss for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remainder of fiscal 2025, we plan to continue our focus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state-of-the-art, certified facilities to increase the value of the goods and services we provide to our highly valued private-label contract manufacturing customers, and assist us in developing relationships with additional quality-oriented customers;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the commercialization of our beta-alanine patent estate through raw material sales, developing a new sales distribution channel under the Wellness and Healthy Aging category for our sustained release form of beta-alanine marketed under our SR CarnoSyn® trademark, developing a market for our new TriBsyn™ beta-alanine product, exploiting new contract manufacturing opportunities, license and royalty agreements, and protecting our proprietary rights;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ind w:left="0" w:right="0" w:hanging="0"/>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operational efficiencies and managing costs and business risks to improve profitability.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Discussion of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identified the following as our most critical accounting estimates, which are those that are most important to the portrayal of our financial condition and results, and that require management’s most subjective and complex judgments. Information regarding our other significant accounting estimates and policies is disclosed in Note A of Item 1 in Part I of this report and as disclosed in our 2024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Recognition — Revenue is measured as the net amount of consideration expected to be received in exchange for fulfilling one or more performance obligations. For certain contracts with volume rebates, our estimates of future sales used to assess the volume rebate estimates are subject to a high degree of judgement and may differ from actual sales due to, among other things, changes in customer orders and raw material availability.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our operations for the three and nine months ended March 31 were as follows (dollars in thousands):</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3635"/>
        <w:gridCol w:w="60"/>
        <w:gridCol w:w="125"/>
        <w:gridCol w:w="590"/>
        <w:gridCol w:w="245"/>
        <w:gridCol w:w="60"/>
        <w:gridCol w:w="125"/>
        <w:gridCol w:w="590"/>
        <w:gridCol w:w="245"/>
        <w:gridCol w:w="60"/>
        <w:gridCol w:w="108"/>
        <w:gridCol w:w="797"/>
        <w:gridCol w:w="245"/>
        <w:gridCol w:w="60"/>
        <w:gridCol w:w="125"/>
        <w:gridCol w:w="590"/>
        <w:gridCol w:w="245"/>
        <w:gridCol w:w="60"/>
        <w:gridCol w:w="125"/>
        <w:gridCol w:w="590"/>
        <w:gridCol w:w="245"/>
        <w:gridCol w:w="60"/>
        <w:gridCol w:w="187"/>
        <w:gridCol w:w="718"/>
        <w:gridCol w:w="245"/>
      </w:tblGrid>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4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Private label contract manufacturing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22,479</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90,021</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77,718</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2,657</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5,973</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28,766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95,994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84,307</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26,940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90,240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78,861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1,922</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5,754</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5,446</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3,926</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7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of net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Private-label contract manufacturing net sales increased 20% during the three months ended March 31, 2025, and increased 16% during the nine months ended March 31, 2025, when compared to the same periods in the prior year. The increase in net sales during the three months ended March 31, 2025 was primarily due to increased orders from several of our larger customers and shipments to new customers. The increase in net sales during the nine months ended March 31, 2025 was primarily due to increased orders from one of our larger customers and shipments to new customers.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from our patent and trademark licensing segment decreased 36% during the three months ended March 31, 2025, and decreased 9% during the nine months ended March 31, 2025, when compared to the same period in the prior year. The decrease in patent and trademark licensing revenue during the three months ended March 31, 2025, was primarily due to decreased orders from existing customers. The decrease in patent and trademark licensing revenue during the nine months ended March 31, 2025 was primarily due to a decrease in orders from existing customers, partially offset by decreased volume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gross profit margin for the three and nine months ended March 31, 2025, was as follows:</w:t>
      </w:r>
    </w:p>
    <w:p>
      <w:pPr>
        <w:pStyle w:val="TextBody"/>
        <w:bidi w:val="0"/>
        <w:spacing w:before="0" w:after="0"/>
        <w:ind w:left="0" w:right="0" w:hanging="0"/>
        <w:jc w:val="both"/>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2870"/>
        <w:gridCol w:w="60"/>
        <w:gridCol w:w="269"/>
        <w:gridCol w:w="1520"/>
        <w:gridCol w:w="245"/>
        <w:gridCol w:w="60"/>
        <w:gridCol w:w="251"/>
        <w:gridCol w:w="1418"/>
        <w:gridCol w:w="245"/>
      </w:tblGrid>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418"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8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manufacturing(1)</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licensing(2)</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change in gross profit margin</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ind w:left="0" w:right="0" w:hanging="0"/>
              <w:jc w:val="left"/>
              <w:rPr/>
            </w:pPr>
            <w:r>
              <w:rPr/>
              <w:t> </w:t>
            </w:r>
          </w:p>
        </w:tc>
        <w:tc>
          <w:tcPr>
            <w:tcW w:w="15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14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Private-label contract manufacturing gross profit margin as a percentage of consolidated net sales increased 1.2 percentage points during the three months ended March 31, 2025, when compared to the comparable prior year period. The increase in gross profit as a percentage of net sales for private-label contract manufacturing during the three months ended March 31, 2025 is primarily related to an increase in sales volume which decreased our capacity underutilization, along with a favorable change in product sales mix, partially offset by increased labor and operating expenses and unfavorable foreign currency exchange rate fluctuations. For the nine months ended March 31, 2025, contract manufacturing gross profit margin as a percentage of consolidated net sales increased 0.1 percentage points as compared to the comparable prior year period primarily due to a favorable change in product sales mix offset by increased manufacturing costs. Manufacturing costs were negatively impacted by increased labor, supplies, rent and freight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Patent and trademark licensing gross profit margin as a percentage of consolidated net sales decreased 2.5 percentage points during the three months ended March 31, 2025 when compared to the comparable prior year period. The decrease in margin contribution was primarily due to decreased patent and trademark licensing net sales in total and as a percentage of total consolidated net sales, as patent and trademark licensing historically provides higher profit margins than our private-label contract manufacturing business. For the nine months ended March 31, 2025, patent and trademark licensing margin contribution decreased 0.6 percentage points when compared to the comparable period in the prior fiscal year primarily due to decreased patent and trademark licensing net sales in total and as a percentage of total consolidated net sales, as patent and trademark licensing historically provides higher profit margins than our private-label contract manufacturing business. The decrease in gross patent and trademark licensing sales for the first nine months was partially offset by lower volume rebates.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remained consistent at $3.9 million during the three months ended March 31, 2025 and March 31, 2024 and increased $1.0 million during the nine months ended March 31, 2025 as compared to the nine months ended March 31, 2024. The increase in selling, general, and administrative expenses during the nine months is primarily related to an increase in compensation and benefits expenses and legal expenses associated with new patent and tradename registrations.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net increased $0.5 million during the three and nine months ended March 31, 2025 when compared to the comparable period during the prior year. The increase is due to unfavorable foreign currency volatility and increased interest expense due to increased usage of our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income tax benefit during the three-month period ended March 31, 2025 increased to approximately $0.5 million when compared to our tax benefit of approximately $0.4 million during the three months ended March 31, 2024. The increase in our tax benefit is primarily due to an increase in our loss before income taxes. Our income tax benefit during the nine-month period ended March 31, 2025 increased to $1.6 million compared to a tax benefit of $1.3 million in the comparable period during the prior fiscal year. The increase in our tax benefit during the comparable nine-month period is primarily due to an increase in our loss before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sources of liquidity and capital resources are cash flows provided by operating activities and the availability of borrowings under our credit facilities. Net cash provided by operating activities was $2.6 million for the nine months ended March 31, 2025, compared to net cash provided by operating activities of $1.2 million in the comparable period during the prior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2025, changes in accounts receivable, consisting of amounts due from our private-label contract manufacturing customers and our patent and trademark licensing activities, provided $5.2 million in cash compared to using $4.2 million of cash during the comparable nine-month period in the prior year. The change in cash flow activity in accounts receivable during the nine months ended March 31, 2025, primarily resulted from the timing of sales and related collections. Days sales outstanding was 41 days during the nine months ended March 31, 2025, as compared to 30 days for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inventory used $2.7 million in cash during the nine months ended March 31, 2025, compared to providing $8.6 million in the comparable prior year period. The change in cash related to inventory during the nine months ended March 31, 2025, was primarily related to the difference in the amount and timing of orders and anticipated sales as compared to the same period in the prior year. Changes in accounts payable and accrued liabilities provided $1.0 million in cash during the nine months ended March 31, 2025, compared to using $0.7 million during the nine months ended March 31, 2024. The change in cash flow activity related to accounts payable and accrued liabilities was primarily due to the timing of inventory receipts and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in the nine months ended March 31, 2025, was $2.2 million compared to $2.0 million in the comparable prior year period. The increase during the nine-months ended March 31, 2025 was related to increased capital expenditures primarily related to cost incurred to install solar energy generation equipment on our manufacturing facilities during the nine months ended March 31, 2025 as compared to the nine months ended March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financing activities for the nine months ended March 31, 2025, was $1.8 million compared to using $0.4 million in the comparable prior year period. The change in financing activities is primarily due to increased usage of our credit facility during the nine-month period ended March 31, 2025 compared to the nine-month period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we had $8.5 million of borrowing capacity available on our credit facility of which we had outstanding borrowings of $2.0 million. We also owed $9.0 million on a term loan secured by our Carlsbad, California powder processing and storage facility.  As of June 30, 2024, we had outstanding borrowings of $3.4 million on our line of credit, and we also owed $9.2 million on our 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On </w:t>
      </w:r>
      <w:r>
        <w:rPr>
          <w:rFonts w:ascii="Times New Roman" w:hAnsi="Times New Roman"/>
          <w:caps w:val="false"/>
          <w:smallCaps w:val="false"/>
          <w:sz w:val="20"/>
        </w:rPr>
        <w:t>March 31, 2025</w:t>
      </w:r>
      <w:r>
        <w:rPr>
          <w:rFonts w:ascii="Times New Roman" w:hAnsi="Times New Roman"/>
          <w:caps w:val="false"/>
          <w:smallCaps w:val="false"/>
          <w:sz w:val="20"/>
          <w:shd w:fill="FFFFFF" w:val="clear"/>
        </w:rPr>
        <w:t>, we had $</w:t>
      </w:r>
      <w:r>
        <w:rPr>
          <w:rFonts w:ascii="Times New Roman" w:hAnsi="Times New Roman"/>
          <w:caps w:val="false"/>
          <w:smallCaps w:val="false"/>
          <w:sz w:val="20"/>
        </w:rPr>
        <w:t>10.6 million</w:t>
      </w:r>
      <w:r>
        <w:rPr>
          <w:rFonts w:ascii="Times New Roman" w:hAnsi="Times New Roman"/>
          <w:caps w:val="false"/>
          <w:smallCaps w:val="false"/>
          <w:sz w:val="20"/>
          <w:shd w:fill="FFFFFF" w:val="clear"/>
        </w:rPr>
        <w:t> in cash and cash equivalents of which, $</w:t>
      </w:r>
      <w:r>
        <w:rPr>
          <w:rFonts w:ascii="Times New Roman" w:hAnsi="Times New Roman"/>
          <w:caps w:val="false"/>
          <w:smallCaps w:val="false"/>
          <w:sz w:val="20"/>
        </w:rPr>
        <w:t>10.0 million</w:t>
      </w:r>
      <w:r>
        <w:rPr>
          <w:rFonts w:ascii="Times New Roman" w:hAnsi="Times New Roman"/>
          <w:caps w:val="false"/>
          <w:smallCaps w:val="false"/>
          <w:sz w:val="20"/>
          <w:shd w:fill="FFFFFF" w:val="clear"/>
        </w:rPr>
        <w:t xml:space="preserve"> was held by NAIE. Overall, we believe our available cash, cash equivalents, potential cash flows from operations, and our line of credit will be sufficient to fund our current working capital needs and capital expenditures through at least the next 12 months. On </w:t>
      </w:r>
      <w:r>
        <w:rPr>
          <w:rFonts w:ascii="Times New Roman" w:hAnsi="Times New Roman"/>
          <w:caps w:val="false"/>
          <w:smallCaps w:val="false"/>
          <w:sz w:val="20"/>
        </w:rPr>
        <w:t>March 31, 2025</w:t>
      </w:r>
      <w:r>
        <w:rPr>
          <w:rFonts w:ascii="Times New Roman" w:hAnsi="Times New Roman"/>
          <w:caps w:val="false"/>
          <w:smallCaps w:val="false"/>
          <w:sz w:val="20"/>
          <w:shd w:fill="FFFFFF" w:val="clear"/>
        </w:rPr>
        <w:t xml:space="preserve">, </w:t>
      </w:r>
      <w:r>
        <w:rPr>
          <w:rFonts w:ascii="Times New Roman" w:hAnsi="Times New Roman"/>
          <w:caps w:val="false"/>
          <w:smallCaps w:val="false"/>
          <w:sz w:val="20"/>
        </w:rPr>
        <w:t>we were not in compliance with the financial covenants related to net income requirements of the Fourth Amendment to our credit facility and a rolling four-quarter fixed charge ratio. In the fourth quarter of fiscal 2025, we anticipate we will not be in compliance with the financial covenants associated with the Fourth Amendment related to net income requirements and the fixed charge coverage ratio. We have a tentative agreement with Wells Fargo regarding proposed amended terms to our credit facility. Amended terms are anticipated to include waving all current and past covenant violations. We are still working with Wells Fargo on finalizing the formal amended credit agreement and expect to execute this amendment by early June 2025. On May 14, 2025, we executed a Fifth Amendment to our credit facility that extends the maturity date of our credit facility from May 23, 2025 to June 23, 2025. The extension of the maturity date of our credit facility will allow us to finalize the negotiations of an amended credit agreement while minimizing the risk of the credit facility expiring before the new agreement can be executed. Wells Fargo has advised us that during the period of negotiation they will consider our request for a new credit facility, they will not exercise any of their options due to our breach of the current Credit Agreement, and they reserve all of their rights. There can be no assurance we will be able to successfully negotiate a new credit facility, or what the differences in amount, cost and other factors may be. Please see Note F, Item 1 of Part I of this report for terms of our current modified line of credit.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2025, we did not have any off-balance sheet debt nor did we have any transactions, arrangements, obligations (including contingent obligations) or other relationships with any unconsolidated entities or other persons that have or are reasonably likely to have a material current or future effect on our financial condition, changes in financial condition, results of operations, liquidity, capital expenditures, capital resources, or significant components of revenue or expenses that would be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Recent accounting pronouncements are discussed in the notes to our consolidated financial statements included under Item 1, Note A of Part I of this Report. Other than those pronouncements, we are not aware of any other pronouncements that materially affect our financial position or results of operations.</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40"/>
        <w:gridCol w:w="2960"/>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2" w:name="item4"/>
            <w:bookmarkEnd w:id="12"/>
            <w:r>
              <w:rPr>
                <w:rFonts w:ascii="Times New Roman;Times;serif" w:hAnsi="Times New Roman;Times;serif"/>
                <w:b/>
                <w:sz w:val="20"/>
              </w:rPr>
              <w:t>ITEM 4.</w:t>
            </w:r>
          </w:p>
        </w:tc>
        <w:tc>
          <w:tcPr>
            <w:tcW w:w="29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CONTROLS AND PROCEDURES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certain disclosure controls and procedures to assist our compliance with the Securities Exchange Act of 1934. These controls and procedures are designed to help ensure material information: (1) is gathered and communicated to our management, (including our principal executive and financial officers,) in a manner that allows for timely decisions regarding required disclosures; and (2) is recorded, processed, summarized, reported and filed with the SEC as required under the Securities Exchange Act of 1934 and within the time periods specified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(principal financial and accounting officer), evaluated the effectiveness of the design and operation of our disclosure controls and procedures as of March 31, 2025. Based on such evaluation, our Chief Executive Officer and Chief Financial Officer concluded our disclosure controls and procedures were effective for their intended purpose as of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Rules 13a-15(f) and 15d-15(f) under the Exchange Act) that occurred during the quarterly period ended March 31,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 OTHER INFORMATION</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part2item1"/>
            <w:bookmarkEnd w:id="14"/>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become involved in various investigations, claims and legal proceedings that arise in the ordinary course of our business. These matters may relate to intellectual property, product liability, employment, tax, regulation, contract, or other matters. The resolution of these matters as they arise will be subject to various uncertainties and, even if such claims are without merit, could result in the expenditure of significant financial and managerial resources. While unfavorable outcomes are possible, based on available information, we currently do not believe the resolution of these matters, even if unfavorable, will result in a material adverse effect on our business, consolidated financial condition, or results of operations. However, a settlement payment or unfavorable outcome could adversely impact our results of operations. Our evaluation of the likely impact of these actions could change in the future and we could have unfavorable outcomes we do not expect. An unexpected settlement expense or an unexpected unfavorable outcome of a matter could adversely impact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w:t>
      </w:r>
      <w:r>
        <w:rPr>
          <w:rFonts w:ascii="Times New Roman" w:hAnsi="Times New Roman"/>
          <w:caps w:val="false"/>
          <w:smallCaps w:val="false"/>
          <w:sz w:val="20"/>
          <w:shd w:fill="FFFFFF" w:val="clear"/>
        </w:rPr>
        <w:t>f May 14, 2025, ne</w:t>
      </w:r>
      <w:r>
        <w:rPr>
          <w:rFonts w:ascii="Times New Roman" w:hAnsi="Times New Roman"/>
          <w:caps w:val="false"/>
          <w:smallCaps w:val="false"/>
          <w:sz w:val="20"/>
        </w:rPr>
        <w:t>ither NAI nor NAIE were a party to any material pending legal proceeding nor was any of our property the subject of any material pending legal proceeding. We are often involved in up to several matters in the ordinary course of our business, and an unanticipated negative result from one or more of those matters could have a material adverse impact on our 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assurance NAI will prevail in litigation matters or in similar proceedings NAI or others may initiate, or that litigation expenses will not be greater than anticipated.</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part2item1a"/>
            <w:bookmarkEnd w:id="15"/>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evaluating our business and future prospects you should carefully consider the risks described under Item 1A of our 2024 Annual Report, as well as the other information in our 2024 Annual Report, this Report and other reports and documents we file with the SEC. If any of the identified risks actually occur, our business, financial condition and results of operations could be seriously harmed. In that event, the market price of our common stock could decline, and you could lose all or a portion of the value of your investment in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Geopolitical Instability and Conflict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operations may be adversely affected by ongoing geopolitical instability including conflicts in Ukraine and the Middle East. These regional tensions may lead to increased political, economic, and security risks, including disruptions in the global supply chain, fluctuations in energy prices, and financial market volatility. Such uncertainties could impact our ability to operate efficiently, access markets, and secure resources. Our financial performance and results may be influenced by these external factors, and we cannot predict the future impact of geopolitical events on our business with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Duties and Trade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ability to adjust selling prices to our customers and forecast manufacturing and operating costs on a timely basis may be adversely impacted by increased trade tariffs. We continuously monitor the impact tariffs between trading partners may have on our business as they develop. We cannot predict with certainty future global trade tariffs or the impact they may have on our business and results of operation. As a contract manufacturer, we pass through material cost increases to our customers, including increases associated with tariffs. We also work with our customers to identify potential alternative supply sources for key ingredients to help mitigate the impact tariffs may have on the cost of their products.</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6" w:name="part2item2"/>
            <w:bookmarkEnd w:id="16"/>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sell any unregistered equity securities during the three-month periods ended March 31, 2025 and March 31, 2024.</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part2item3"/>
            <w:bookmarkEnd w:id="17"/>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jc w:val="left"/>
        <w:rPr/>
      </w:pPr>
      <w:r>
        <w:rPr/>
        <w:t xml:space="preserve">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pPr>
            <w:bookmarkStart w:id="18" w:name="part2item5"/>
            <w:bookmarkEnd w:id="18"/>
            <w:r>
              <w:rPr>
                <w:rFonts w:ascii="Times New Roman;Times;serif" w:hAnsi="Times New Roman;Times;serif"/>
                <w:b/>
                <w:sz w:val="20"/>
              </w:rPr>
              <w:t xml:space="preserve">ITEM </w:t>
            </w:r>
            <w:r>
              <w:rPr>
                <w:rStyle w:val="Emphasis"/>
                <w:rFonts w:ascii="Times New Roman;Times;serif" w:hAnsi="Times New Roman;Times;serif"/>
                <w:b/>
                <w:sz w:val="20"/>
              </w:rPr>
              <w:t>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50" w:type="dxa"/>
        <w:jc w:val="left"/>
        <w:tblInd w:w="0" w:type="dxa"/>
        <w:tblLayout w:type="fixed"/>
        <w:tblCellMar>
          <w:top w:w="0" w:type="dxa"/>
          <w:left w:w="0" w:type="dxa"/>
          <w:bottom w:w="0" w:type="dxa"/>
          <w:right w:w="0" w:type="dxa"/>
        </w:tblCellMar>
      </w:tblPr>
      <w:tblGrid>
        <w:gridCol w:w="785"/>
        <w:gridCol w:w="96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9" w:name="part2item6"/>
            <w:bookmarkEnd w:id="19"/>
            <w:r>
              <w:rPr>
                <w:rFonts w:ascii="Times New Roman;Times;serif" w:hAnsi="Times New Roman;Times;serif"/>
                <w:b/>
                <w:sz w:val="20"/>
              </w:rPr>
              <w:t xml:space="preserve">ITEM 6. </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exhibit index shows those exhibits filed with this Report and those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8"/>
        <w:gridCol w:w="4814"/>
        <w:gridCol w:w="60"/>
        <w:gridCol w:w="4633"/>
      </w:tblGrid>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w:t>
              <w:br/>
              <w:t>Number</w:t>
            </w:r>
          </w:p>
        </w:tc>
        <w:tc>
          <w:tcPr>
            <w:tcW w:w="48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Incorporated By Reference To</w:t>
            </w:r>
          </w:p>
        </w:tc>
      </w:tr>
      <w:tr>
        <w:trPr/>
        <w:tc>
          <w:tcPr>
            <w:tcW w:w="698" w:type="dxa"/>
            <w:tcBorders/>
            <w:vAlign w:val="center"/>
          </w:tcPr>
          <w:p>
            <w:pPr>
              <w:pStyle w:val="TableContents"/>
              <w:bidi w:val="0"/>
              <w:spacing w:before="0" w:after="283"/>
              <w:jc w:val="left"/>
              <w:rPr/>
            </w:pPr>
            <w:r>
              <w:rPr/>
              <w:t> </w:t>
            </w:r>
          </w:p>
        </w:tc>
        <w:tc>
          <w:tcPr>
            <w:tcW w:w="4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w:t>
            </w:r>
          </w:p>
        </w:tc>
        <w:tc>
          <w:tcPr>
            <w:tcW w:w="4814"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u w:val="single"/>
                </w:rPr>
                <w:t>Amended and Restated Certificate of Incorporation of Natural Alternatives International, Inc. filed with the Delaware Secretary of State on January 14, 2005</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 of NAI’s Quarterly Report on Form 10-Q for the quarterly period ended December 31, 2004, filed with the commission on February 14, 2005</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3(ii)</w:t>
            </w:r>
          </w:p>
        </w:tc>
        <w:tc>
          <w:tcPr>
            <w:tcW w:w="4814"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Amended and Restated By-laws of Natural Alternatives International, Inc. dated as of February 9, 2009</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3(ii) of NAI’s Current Report on Form 8-K dated February 9, 2009, filed with the commission on February 13, 2009</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4(i)</w:t>
            </w:r>
          </w:p>
        </w:tc>
        <w:tc>
          <w:tcPr>
            <w:tcW w:w="4814"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u w:val="single"/>
                </w:rPr>
                <w:t>Form of NAI’s Common Stock Certificate</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Exhibit 4(i) of NAI’s Annual Report on Form 10-K for the fiscal year ended June 30, 2005, filed with the commission on December 8, 2005</w:t>
            </w:r>
          </w:p>
        </w:tc>
      </w:tr>
      <w:tr>
        <w:trPr/>
        <w:tc>
          <w:tcPr>
            <w:tcW w:w="698" w:type="dxa"/>
            <w:tcBorders/>
            <w:vAlign w:val="center"/>
          </w:tcPr>
          <w:p>
            <w:pPr>
              <w:pStyle w:val="TableContents"/>
              <w:bidi w:val="0"/>
              <w:spacing w:before="0" w:after="283"/>
              <w:jc w:val="left"/>
              <w:rPr/>
            </w:pPr>
            <w:r>
              <w:rPr/>
              <w:t> </w:t>
            </w:r>
          </w:p>
        </w:tc>
        <w:tc>
          <w:tcPr>
            <w:tcW w:w="4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10.39</w:t>
            </w:r>
          </w:p>
        </w:tc>
        <w:tc>
          <w:tcPr>
            <w:tcW w:w="4814" w:type="dxa"/>
            <w:tcBorders/>
            <w:vAlign w:val="center"/>
          </w:tcPr>
          <w:p>
            <w:pPr>
              <w:pStyle w:val="TableContents"/>
              <w:bidi w:val="0"/>
              <w:spacing w:before="0" w:after="283"/>
              <w:jc w:val="left"/>
              <w:rPr/>
            </w:pPr>
            <w:hyperlink w:anchor="ex_817941.htm">
              <w:r>
                <w:rPr>
                  <w:rStyle w:val="InternetLink"/>
                </w:rPr>
                <w:t>Fifth Amendment to Credit Agreement by and between NAI and Wells Fargo effective May 14, 2025</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4814" w:type="dxa"/>
            <w:tcBorders/>
            <w:vAlign w:val="center"/>
          </w:tcPr>
          <w:p>
            <w:pPr>
              <w:pStyle w:val="TableContents"/>
              <w:bidi w:val="0"/>
              <w:spacing w:before="0" w:after="0"/>
              <w:ind w:left="0" w:right="0" w:hanging="0"/>
              <w:jc w:val="both"/>
              <w:rPr/>
            </w:pPr>
            <w:hyperlink w:anchor="ex_779811.htm">
              <w:r>
                <w:rPr>
                  <w:rStyle w:val="InternetLink"/>
                  <w:rFonts w:ascii="Times New Roman" w:hAnsi="Times New Roman"/>
                  <w:caps w:val="false"/>
                  <w:smallCaps w:val="false"/>
                  <w:sz w:val="20"/>
                </w:rPr>
                <w:t>Rule 13a-14(a)/15d-14(a) Certification of Chief Executive Officer</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4814" w:type="dxa"/>
            <w:tcBorders/>
            <w:vAlign w:val="center"/>
          </w:tcPr>
          <w:p>
            <w:pPr>
              <w:pStyle w:val="TableContents"/>
              <w:bidi w:val="0"/>
              <w:spacing w:before="0" w:after="0"/>
              <w:ind w:left="0" w:right="0" w:hanging="0"/>
              <w:jc w:val="both"/>
              <w:rPr/>
            </w:pPr>
            <w:hyperlink w:anchor="ex_779812.htm">
              <w:r>
                <w:rPr>
                  <w:rStyle w:val="InternetLink"/>
                  <w:rFonts w:ascii="Times New Roman" w:hAnsi="Times New Roman"/>
                  <w:caps w:val="false"/>
                  <w:smallCaps w:val="false"/>
                  <w:sz w:val="20"/>
                </w:rPr>
                <w:t>Rule 13a-14(a)/15d-14(a) Certification of Chief Financial Officer</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4814" w:type="dxa"/>
            <w:tcBorders/>
            <w:vAlign w:val="center"/>
          </w:tcPr>
          <w:p>
            <w:pPr>
              <w:pStyle w:val="TableContents"/>
              <w:bidi w:val="0"/>
              <w:spacing w:before="0" w:after="0"/>
              <w:ind w:left="0" w:right="0" w:hanging="0"/>
              <w:jc w:val="left"/>
              <w:rPr/>
            </w:pPr>
            <w:hyperlink w:anchor="ex_779813.htm">
              <w:r>
                <w:rPr>
                  <w:rStyle w:val="InternetLink"/>
                  <w:rFonts w:ascii="Times New Roman" w:hAnsi="Times New Roman"/>
                  <w:caps w:val="false"/>
                  <w:smallCaps w:val="false"/>
                  <w:sz w:val="20"/>
                </w:rPr>
                <w:t>Section 1350 Certification</w:t>
              </w:r>
            </w:hyperlink>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283"/>
              <w:jc w:val="left"/>
              <w:rPr/>
            </w:pPr>
            <w:r>
              <w:rPr/>
              <w:t> </w:t>
            </w:r>
          </w:p>
        </w:tc>
        <w:tc>
          <w:tcPr>
            <w:tcW w:w="4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283"/>
              <w:jc w:val="left"/>
              <w:rPr/>
            </w:pPr>
            <w:r>
              <w:rPr/>
              <w:t> </w:t>
            </w:r>
          </w:p>
        </w:tc>
        <w:tc>
          <w:tcPr>
            <w:tcW w:w="48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283"/>
              <w:jc w:val="left"/>
              <w:rPr/>
            </w:pPr>
            <w:r>
              <w:rPr/>
              <w:t> </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4814" w:type="dxa"/>
            <w:tcBorders/>
            <w:vAlign w:val="center"/>
          </w:tcPr>
          <w:p>
            <w:pPr>
              <w:pStyle w:val="TableContents"/>
              <w:bidi w:val="0"/>
              <w:spacing w:before="0" w:after="0"/>
              <w:ind w:left="2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6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48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463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signatures"/>
      <w:bookmarkEnd w:id="20"/>
      <w:r>
        <w:rPr>
          <w:rFonts w:ascii="Times New Roman" w:hAnsi="Times New Roman"/>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Natural Alternatives International, Inc., the registrant, has duly caused this Report to be signed on its behalf by the undersigned, duly authorized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r>
        <w:rPr>
          <w:rFonts w:ascii="Times New Roman" w:hAnsi="Times New Roman"/>
          <w:caps w:val="false"/>
          <w:smallCaps w:val="false"/>
          <w:sz w:val="20"/>
          <w:shd w:fill="FFFFFF" w:val="clear"/>
        </w:rPr>
        <w:t>: May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94" w:type="dxa"/>
        <w:jc w:val="left"/>
        <w:tblInd w:w="0" w:type="dxa"/>
        <w:tblLayout w:type="fixed"/>
        <w:tblCellMar>
          <w:top w:w="0" w:type="dxa"/>
          <w:left w:w="0" w:type="dxa"/>
          <w:bottom w:w="0" w:type="dxa"/>
          <w:right w:w="0" w:type="dxa"/>
        </w:tblCellMar>
      </w:tblPr>
      <w:tblGrid>
        <w:gridCol w:w="60"/>
        <w:gridCol w:w="373"/>
        <w:gridCol w:w="4101"/>
        <w:gridCol w:w="60"/>
      </w:tblGrid>
      <w:tr>
        <w:trPr/>
        <w:tc>
          <w:tcPr>
            <w:tcW w:w="60" w:type="dxa"/>
            <w:tcBorders/>
            <w:vAlign w:val="center"/>
          </w:tcPr>
          <w:p>
            <w:pPr>
              <w:pStyle w:val="TableContents"/>
              <w:bidi w:val="0"/>
              <w:spacing w:before="0" w:after="283"/>
              <w:jc w:val="left"/>
              <w:rPr/>
            </w:pPr>
            <w:r>
              <w:rPr/>
              <w:t> </w:t>
            </w:r>
          </w:p>
        </w:tc>
        <w:tc>
          <w:tcPr>
            <w:tcW w:w="447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Mark A. LeDoux</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101" w:type="dxa"/>
            <w:tcBorders>
              <w:bottom w:val="single" w:sz="2" w:space="0" w:color="000000"/>
            </w:tcBorders>
            <w:tcMar>
              <w:bottom w:w="28" w:type="dxa"/>
            </w:tcMar>
            <w:vAlign w:val="center"/>
          </w:tcPr>
          <w:p>
            <w:pPr>
              <w:pStyle w:val="TableContents"/>
              <w:bidi w:val="0"/>
              <w:spacing w:before="0" w:after="283"/>
              <w:jc w:val="left"/>
              <w:rPr/>
            </w:pPr>
            <w:r>
              <w:rPr/>
              <w:t>/s/ Michael E. Fortin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E. Fortin, Chief Financial Officer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4101" w:type="dxa"/>
            <w:tcBorders/>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23 </w:t>
      </w:r>
    </w:p>
    <w:p>
      <w:pPr>
        <w:pStyle w:val="TextBody"/>
        <w:bidi w:val="0"/>
        <w:spacing w:before="0" w:after="0"/>
        <w:ind w:left="0" w:right="0" w:hanging="0"/>
        <w:jc w:val="right"/>
        <w:rPr>
          <w:rFonts w:ascii="Times New Roman;Times;serif" w:hAnsi="Times New Roman;Times;serif"/>
          <w:b/>
          <w:sz w:val="20"/>
        </w:rPr>
      </w:pPr>
      <w:bookmarkStart w:id="21" w:name="ex_817941.htm"/>
      <w:bookmarkStart w:id="22" w:name="ksex_817941"/>
      <w:bookmarkEnd w:id="21"/>
      <w:bookmarkEnd w:id="22"/>
      <w:r>
        <w:rPr>
          <w:rFonts w:ascii="Times New Roman;Times;serif" w:hAnsi="Times New Roman;Times;serif"/>
          <w:b/>
          <w:sz w:val="20"/>
        </w:rPr>
        <w:t>Exhibit 10.39</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FIFTH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Fifth Amendment to Credit Agreement (“</w:t>
      </w:r>
      <w:r>
        <w:rPr>
          <w:rFonts w:ascii="Times New Roman" w:hAnsi="Times New Roman"/>
          <w:caps w:val="false"/>
          <w:smallCaps w:val="false"/>
          <w:sz w:val="20"/>
          <w:u w:val="single"/>
        </w:rPr>
        <w:t>Fifth Amendment</w:t>
      </w:r>
      <w:r>
        <w:rPr>
          <w:rFonts w:ascii="Times New Roman" w:hAnsi="Times New Roman"/>
          <w:caps w:val="false"/>
          <w:smallCaps w:val="false"/>
          <w:sz w:val="20"/>
        </w:rPr>
        <w:t>”) is entered into as of May 14, 2025, by and between WELLS FARGO BANK, NATIONAL ASSOCIATION (“</w:t>
      </w:r>
      <w:r>
        <w:rPr>
          <w:rFonts w:ascii="Times New Roman" w:hAnsi="Times New Roman"/>
          <w:caps w:val="false"/>
          <w:smallCaps w:val="false"/>
          <w:sz w:val="20"/>
          <w:u w:val="single"/>
        </w:rPr>
        <w:t>Bank</w:t>
      </w:r>
      <w:r>
        <w:rPr>
          <w:rFonts w:ascii="Times New Roman" w:hAnsi="Times New Roman"/>
          <w:caps w:val="false"/>
          <w:smallCaps w:val="false"/>
          <w:sz w:val="20"/>
        </w:rPr>
        <w:t>”), and NATURAL ALTERNATIVES INTERNATIONAL, INC. (“</w:t>
      </w:r>
      <w:r>
        <w:rPr>
          <w:rFonts w:ascii="Times New Roman" w:hAnsi="Times New Roman"/>
          <w:caps w:val="false"/>
          <w:smallCaps w:val="false"/>
          <w:sz w:val="20"/>
          <w:u w:val="single"/>
        </w:rPr>
        <w:t>Borrower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      Reference is hereby made to those certain loans made by the Bank to Borrower (the “</w:t>
      </w:r>
      <w:r>
        <w:rPr>
          <w:rFonts w:ascii="Times New Roman" w:hAnsi="Times New Roman"/>
          <w:caps w:val="false"/>
          <w:smallCaps w:val="false"/>
          <w:sz w:val="20"/>
          <w:u w:val="single"/>
        </w:rPr>
        <w:t>Loans</w:t>
      </w:r>
      <w:r>
        <w:rPr>
          <w:rFonts w:ascii="Times New Roman" w:hAnsi="Times New Roman"/>
          <w:caps w:val="false"/>
          <w:smallCaps w:val="false"/>
          <w:sz w:val="20"/>
        </w:rPr>
        <w:t>”), pursuant to the terms of, and evidenced and guaranteed by, the following documents (the “</w:t>
      </w:r>
      <w:r>
        <w:rPr>
          <w:rFonts w:ascii="Times New Roman" w:hAnsi="Times New Roman"/>
          <w:caps w:val="false"/>
          <w:smallCaps w:val="false"/>
          <w:sz w:val="20"/>
          <w:u w:val="single"/>
        </w:rPr>
        <w:t>Loan Documents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1.    That certain Credit Agreement dated as of May 24, 2021, by and between Borrower and the Bank, that certain First Amendment to Credit Agreement dated as of August 16, 2021, that certain Second Amendment to Credit Agreement dated as of January 31, 2022, that certain Third Amendment to Credit Agreement dated as of September 19, 2022, and that certain Fourth Amendment to Credit Agreement and Waiver of Events of Default dated as of February 13, 2024 (as amended from time-to-time, the “</w:t>
      </w:r>
      <w:r>
        <w:rPr>
          <w:rFonts w:ascii="Times New Roman" w:hAnsi="Times New Roman"/>
          <w:caps w:val="false"/>
          <w:smallCaps w:val="false"/>
          <w:sz w:val="20"/>
          <w:u w:val="single"/>
        </w:rPr>
        <w:t>Credit Agreement</w:t>
      </w:r>
      <w:r>
        <w:rPr>
          <w:rFonts w:ascii="Times New Roman" w:hAnsi="Times New Roman"/>
          <w:caps w:val="false"/>
          <w:smallCaps w:val="false"/>
          <w:sz w:val="20"/>
        </w:rPr>
        <w:t>”);</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2.    That certain Revolving Line of Credit Note in the original principal amount of $20,000,000 dated as of September 19, 2022, as modified by that certain First Modification to Promissory Note dated as of February 13, 2024, which among other things reduced the maximum indebtedness to $12,500,000 (as modified, the “</w:t>
      </w:r>
      <w:r>
        <w:rPr>
          <w:rFonts w:ascii="Times New Roman" w:hAnsi="Times New Roman"/>
          <w:caps w:val="false"/>
          <w:smallCaps w:val="false"/>
          <w:sz w:val="20"/>
          <w:u w:val="single"/>
        </w:rPr>
        <w:t>LOC Note</w:t>
      </w:r>
      <w:r>
        <w:rPr>
          <w:rFonts w:ascii="Times New Roman" w:hAnsi="Times New Roman"/>
          <w:caps w:val="false"/>
          <w:smallCaps w:val="false"/>
          <w:sz w:val="20"/>
        </w:rPr>
        <w:t>”), made by Borrower, in favor of Bank;</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3.    That certain Term Note in the original principal amount of $10,000,000 dated as of August 16, 2021 (the “</w:t>
      </w:r>
      <w:r>
        <w:rPr>
          <w:rFonts w:ascii="Times New Roman" w:hAnsi="Times New Roman"/>
          <w:caps w:val="false"/>
          <w:smallCaps w:val="false"/>
          <w:sz w:val="20"/>
          <w:u w:val="single"/>
        </w:rPr>
        <w:t>Term Note</w:t>
      </w:r>
      <w:r>
        <w:rPr>
          <w:rFonts w:ascii="Times New Roman" w:hAnsi="Times New Roman"/>
          <w:caps w:val="false"/>
          <w:smallCaps w:val="false"/>
          <w:sz w:val="20"/>
        </w:rPr>
        <w:t>”), made by Borrower, in favor of Bank;</w:t>
      </w:r>
    </w:p>
    <w:p>
      <w:pPr>
        <w:pStyle w:val="TextBody"/>
        <w:bidi w:val="0"/>
        <w:spacing w:before="0" w:after="0"/>
        <w:ind w:left="0" w:right="0" w:hanging="36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4.    The other agreements and documents executed and delivered in connection with the Loan, as further set forth and defined in the Credit Agreement as “Loan Documents” after giving effect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B.      Borrower has requested that the Bank extend the maturity date of the Loan from May 23, 2025, to June 23, 2025, and to make certain additional amendments to the Loan Documents in order to provide Borrower additional time to satisfy its obligations to the Bank. The Bank has agreed, subject to and on the specific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above Recitals, and the covenants contained herein, and for other good and valuable consideration, the receipt and adequacy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Acknowledgment of Indebtedness</w:t>
      </w:r>
      <w:r>
        <w:rPr>
          <w:rFonts w:ascii="Times New Roman" w:hAnsi="Times New Roman"/>
          <w:caps w:val="false"/>
          <w:smallCaps w:val="false"/>
          <w:sz w:val="20"/>
        </w:rPr>
        <w:t>. Borrower hereby acknowledges and agrees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Borrower is liable to the Bank for all obligations (hereafter, the “</w:t>
      </w:r>
      <w:r>
        <w:rPr>
          <w:rFonts w:ascii="Times New Roman" w:hAnsi="Times New Roman"/>
          <w:caps w:val="false"/>
          <w:smallCaps w:val="false"/>
          <w:sz w:val="20"/>
          <w:u w:val="single"/>
        </w:rPr>
        <w:t>Indebtedness</w:t>
      </w:r>
      <w:r>
        <w:rPr>
          <w:rFonts w:ascii="Times New Roman" w:hAnsi="Times New Roman"/>
          <w:caps w:val="false"/>
          <w:smallCaps w:val="false"/>
          <w:sz w:val="20"/>
        </w:rPr>
        <w:t>”) under the Loan Documents as set forth therein and herein. As of May 13, 2025, Borrower is liable to the Bank for:</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- 1 -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540"/>
        <w:jc w:val="both"/>
        <w:rPr>
          <w:rFonts w:ascii="Times New Roman" w:hAnsi="Times New Roman"/>
          <w:caps w:val="false"/>
          <w:smallCaps w:val="false"/>
          <w:sz w:val="20"/>
        </w:rPr>
      </w:pPr>
      <w:r>
        <w:rPr>
          <w:rFonts w:ascii="Times New Roman" w:hAnsi="Times New Roman"/>
          <w:caps w:val="false"/>
          <w:smallCaps w:val="false"/>
          <w:sz w:val="20"/>
        </w:rPr>
        <w:t>(i)    $8,957,548.00 in principal with respect to the LOC Note, plus accrued interest in the amount of $18,363.00.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540"/>
        <w:jc w:val="both"/>
        <w:rPr>
          <w:rFonts w:ascii="Times New Roman" w:hAnsi="Times New Roman"/>
          <w:caps w:val="false"/>
          <w:smallCaps w:val="false"/>
          <w:sz w:val="20"/>
        </w:rPr>
      </w:pPr>
      <w:r>
        <w:rPr>
          <w:rFonts w:ascii="Times New Roman" w:hAnsi="Times New Roman"/>
          <w:caps w:val="false"/>
          <w:smallCaps w:val="false"/>
          <w:sz w:val="20"/>
        </w:rPr>
        <w:t>(ii)    $2,400,000.00 in principal with respect to the Term Note, plus accrued interest in the amount of $4,653.56.</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2160" w:right="0" w:firstLine="540"/>
        <w:jc w:val="both"/>
        <w:rPr>
          <w:rFonts w:ascii="Times New Roman" w:hAnsi="Times New Roman"/>
          <w:caps w:val="false"/>
          <w:smallCaps w:val="false"/>
          <w:sz w:val="20"/>
        </w:rPr>
      </w:pPr>
      <w:r>
        <w:rPr>
          <w:rFonts w:ascii="Times New Roman" w:hAnsi="Times New Roman"/>
          <w:caps w:val="false"/>
          <w:smallCaps w:val="false"/>
          <w:sz w:val="20"/>
        </w:rPr>
        <w:t>(iii)    Fees and costs of the Bank in connection with the enforcement of its rights and remedies under the Loan Documents, including without limitation, legal fees and costs incurred by the Bank in the preparation of this Fifth Amendment (“</w:t>
      </w:r>
      <w:r>
        <w:rPr>
          <w:rFonts w:ascii="Times New Roman" w:hAnsi="Times New Roman"/>
          <w:caps w:val="false"/>
          <w:smallCaps w:val="false"/>
          <w:sz w:val="20"/>
          <w:u w:val="single"/>
        </w:rPr>
        <w:t>Fees and Costs</w:t>
      </w:r>
      <w:r>
        <w:rPr>
          <w:rFonts w:ascii="Times New Roman" w:hAnsi="Times New Roman"/>
          <w:caps w:val="false"/>
          <w:smallCaps w:val="false"/>
          <w:sz w:val="20"/>
        </w:rPr>
        <w:t>”), which shall be promptly repaid by Borrower upon the demand of the Bank, including as required under Section 3 of this Fifth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Acknowledgment of Events of Default</w:t>
      </w:r>
      <w:r>
        <w:rPr>
          <w:rFonts w:ascii="Times New Roman" w:hAnsi="Times New Roman"/>
          <w:caps w:val="false"/>
          <w:smallCaps w:val="false"/>
          <w:sz w:val="20"/>
        </w:rPr>
        <w:t>. Borrower hereby acknowledges and agrees that certain Events of Default are outstanding under the Loan Documents, as set forth more fully in those certain Reservation of Rights Letters from the Bank to Borrower dated November 7, 2024 (with respect to an Event of Default with respect to net income covenants that were breached as of September 30, 2024), and March 17, 2025 (with respect to net income and fixed charge coverage ratio covenants that were breached as December 31, 2024) (the “</w:t>
      </w:r>
      <w:r>
        <w:rPr>
          <w:rFonts w:ascii="Times New Roman" w:hAnsi="Times New Roman"/>
          <w:caps w:val="false"/>
          <w:smallCaps w:val="false"/>
          <w:sz w:val="20"/>
          <w:u w:val="single"/>
        </w:rPr>
        <w:t>Specified Defaults</w:t>
      </w:r>
      <w:r>
        <w:rPr>
          <w:rFonts w:ascii="Times New Roman" w:hAnsi="Times New Roman"/>
          <w:caps w:val="false"/>
          <w:smallCaps w:val="false"/>
          <w:sz w:val="20"/>
        </w:rPr>
        <w:t>”), and agrees that the Bank has not agreed to waive any such Specified Defaults and that this Fifth Amendment shall not be construed as such a waiver or an agreement to waive at a future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Conditions to Effectiveness of this Fifth Amendment</w:t>
      </w:r>
      <w:r>
        <w:rPr>
          <w:rFonts w:ascii="Times New Roman" w:hAnsi="Times New Roman"/>
          <w:caps w:val="false"/>
          <w:smallCaps w:val="false"/>
          <w:sz w:val="20"/>
        </w:rPr>
        <w:t>. The effective date of this Fifth Amendment shall be the date that all the following conditions set forth in this Section 3 have been satisfied, as determined by the Bank and evidenced by the Bank’s system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All legal matters incidental to the effectiveness of this Fifth Amendment shall be satisfactory to the Bank’s counsel.</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(b)    The Bank shall have received the original of this Fifth Amendment fully executed by Borrower.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(c)    The Bank shall have received $2,500 as an extension fee.</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(d)    The Bank shall have received $4,000 for reimbursement of its legal fees and costs incurred in connection with the Loan. Borrower expressly agrees that the Bank may draw this amount, plus the extension fee set forth in Section 3(c), above, from the account ending in xxxx5015 without further request to Borrower.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(e)    The Bank shall have received funds sufficient to satisfy all monthly payment obligations.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(f)    All regulatory and compliance requirements, standards and processes shall be completed to the satisfaction of the Bank.</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(g)    Except as to the Specified Defaults, there shall not exist any defaults or Events of Default under the Loan Documents that may be continuing on the date hereof or any circumstances that with the giving of notice, the passage of time or both will constitute defaults or Events of Default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- 2 -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(h)    The Bank shall have received such other and further documents, instruments and certificates as the Bank and its counsel shall reasonably request, all in form and substance satisfactory to the Bank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xml:space="preserve"> Borrower hereby represents and warrants to the Bank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Recitals</w:t>
      </w:r>
      <w:r>
        <w:rPr>
          <w:rFonts w:ascii="Times New Roman" w:hAnsi="Times New Roman"/>
          <w:caps w:val="false"/>
          <w:smallCaps w:val="false"/>
          <w:sz w:val="20"/>
        </w:rPr>
        <w:t>. The Recitals in this Fifth Amendment are true and correct in all respects.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Existence; Power; Authorization</w:t>
      </w:r>
      <w:r>
        <w:rPr>
          <w:rFonts w:ascii="Times New Roman" w:hAnsi="Times New Roman"/>
          <w:caps w:val="false"/>
          <w:smallCaps w:val="false"/>
          <w:sz w:val="20"/>
        </w:rPr>
        <w:t>. The execution, delivery and performance by Borrower of this Fifth Amendment have been duly authorized by all necessary action and Borrower has all requisite power and authority to execute this Fifth Amendment and to perform all obligations hereunder. This Fifth Amendment has been duly executed and delivered by Borrower.</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Enforceability</w:t>
      </w:r>
      <w:r>
        <w:rPr>
          <w:rFonts w:ascii="Times New Roman" w:hAnsi="Times New Roman"/>
          <w:caps w:val="false"/>
          <w:smallCaps w:val="false"/>
          <w:sz w:val="20"/>
        </w:rPr>
        <w:t>. This Fifth Amendment is the legal, valid and binding obligation of Borrower, enforceable against Borrower in accordance with its terms.</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Violation</w:t>
      </w:r>
      <w:r>
        <w:rPr>
          <w:rFonts w:ascii="Times New Roman" w:hAnsi="Times New Roman"/>
          <w:caps w:val="false"/>
          <w:smallCaps w:val="false"/>
          <w:sz w:val="20"/>
        </w:rPr>
        <w:t>. The execution, delivery and performance by Borrower of this Fifth Amendment does not: (i) require any authorization, consent or approval by any governmental department, commission, board, bureau, agency or instrumentality, domestic or foreign, (ii) violate any provision of any law, rule or regulation or of any order, writ, injunction or decree presently in effect, having applicability to Borrower; (iii) result in a breach of or constitute a default under any indenture or loan or credit agreement or any other agreement, lease or instrument to which any Borrower is a party by which it or its properties may be bound or affected; or (iv) result in the creation or imposition of any lien, security interest or encumbrance on any property of Borrower whether now owned or hereafter acquired, other than liens in favor of the Bank.</w:t>
      </w:r>
    </w:p>
    <w:p>
      <w:pPr>
        <w:pStyle w:val="TextBody"/>
        <w:bidi w:val="0"/>
        <w:spacing w:before="0" w:after="0"/>
        <w:ind w:left="0" w:right="0" w:hanging="18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Obligations Absolute</w:t>
      </w:r>
      <w:r>
        <w:rPr>
          <w:rFonts w:ascii="Times New Roman" w:hAnsi="Times New Roman"/>
          <w:caps w:val="false"/>
          <w:smallCaps w:val="false"/>
          <w:sz w:val="20"/>
        </w:rPr>
        <w:t>. The obligation of Borrower to repay the Indebtedness, together with all interest accrued thereon, and to otherwise perform the obligations, is absolute and unconditional, and there exists no right of set off or recoupment, counterclaim or defense of any nature whatsoever to the same. Other than as specifically set forth herein, this Fifth Amendment shall not constitute a waiver or relinquishment of any of the Bank’s rights and remedies nor an agreement to settle or compromise the same or to otherwise extend, modify or change the terms and conditions of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Effect and Construction of Fifth Amendment</w:t>
      </w:r>
      <w:r>
        <w:rPr>
          <w:rFonts w:ascii="Times New Roman" w:hAnsi="Times New Roman"/>
          <w:caps w:val="false"/>
          <w:smallCaps w:val="false"/>
          <w:sz w:val="20"/>
        </w:rPr>
        <w:t>. Except as expressly provided herein, the Loan Documents shall remain in full force and effect in accordance with their respective terms, and this Fifth Amendment shall not be construed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impair the validity, perfection or priority of any lien or security interest securing the obligations of Borrower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- 3 -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(b)    waive or impair any rights, powers or remedies of the Bank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(c)    constitute an election of remedies to the exclusion of any other remedies;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(d)    amend, modify or alter any of the terms and conditions of the Loan Documents, including, without limitation the Events of Default section set forth in Article VI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60" w:right="0" w:firstLine="1440"/>
        <w:jc w:val="both"/>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Waiver and Release</w:t>
      </w:r>
      <w:r>
        <w:rPr>
          <w:rFonts w:ascii="Times New Roman" w:hAnsi="Times New Roman"/>
          <w:caps w:val="false"/>
          <w:smallCaps w:val="false"/>
          <w:sz w:val="20"/>
        </w:rPr>
        <w:t>. In consideration of the benefits provided to Borrower under the terms and provisions hereof, Borrower hereby agrees as follows (“</w:t>
      </w:r>
      <w:r>
        <w:rPr>
          <w:rFonts w:ascii="Times New Roman" w:hAnsi="Times New Roman"/>
          <w:caps w:val="false"/>
          <w:smallCaps w:val="false"/>
          <w:sz w:val="20"/>
          <w:u w:val="single"/>
        </w:rPr>
        <w:t>General Release</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Release</w:t>
      </w:r>
      <w:r>
        <w:rPr>
          <w:rFonts w:ascii="Times New Roman" w:hAnsi="Times New Roman"/>
          <w:caps w:val="false"/>
          <w:smallCaps w:val="false"/>
          <w:sz w:val="20"/>
        </w:rPr>
        <w:t>. Borrower, for itself and on behalf of its successors and assigns, do hereby release, acquit and forever discharge Bank, all of Bank’s predecessors in interest, and all of the Bank’s past and present officers, directors, attorneys, affiliates, employees and agents, of and from any and all claims, demands, obligations, liabilities, indebtedness, breaches of contract, breaches of duty or of any relationship, acts, omissions, misfeasance, malfeasance, causes of action, defenses, offsets, debts, sums of money, accounts, compensation, contracts, controversies, promises, damages, costs, losses and expenses, of every type, kind, nature, description or character, whether known or unknown, suspected or unsuspected, liquidated or unliquidated, each as though fully set forth herein at length (each, a “</w:t>
      </w:r>
      <w:r>
        <w:rPr>
          <w:rFonts w:ascii="Times New Roman" w:hAnsi="Times New Roman"/>
          <w:caps w:val="false"/>
          <w:smallCaps w:val="false"/>
          <w:sz w:val="20"/>
          <w:u w:val="single"/>
        </w:rPr>
        <w:t>Released Claim</w:t>
      </w:r>
      <w:r>
        <w:rPr>
          <w:rFonts w:ascii="Times New Roman" w:hAnsi="Times New Roman"/>
          <w:caps w:val="false"/>
          <w:smallCaps w:val="false"/>
          <w:sz w:val="20"/>
        </w:rPr>
        <w:t>” and collectively, the “</w:t>
      </w:r>
      <w:r>
        <w:rPr>
          <w:rFonts w:ascii="Times New Roman" w:hAnsi="Times New Roman"/>
          <w:caps w:val="false"/>
          <w:smallCaps w:val="false"/>
          <w:sz w:val="20"/>
          <w:u w:val="single"/>
        </w:rPr>
        <w:t>Released Claims</w:t>
      </w:r>
      <w:r>
        <w:rPr>
          <w:rFonts w:ascii="Times New Roman" w:hAnsi="Times New Roman"/>
          <w:caps w:val="false"/>
          <w:smallCaps w:val="false"/>
          <w:sz w:val="20"/>
        </w:rPr>
        <w:t>”), that Borrower now has or may acquire as of the later of: (i) the date this Fifth Amendment becomes effective through the satisfaction (or waiver by the Bank) of all conditions hereto; or (ii) the date that Borrower has executed and delivered this Fifth Amendment to the Bank (hereafter, the “</w:t>
      </w:r>
      <w:r>
        <w:rPr>
          <w:rFonts w:ascii="Times New Roman" w:hAnsi="Times New Roman"/>
          <w:caps w:val="false"/>
          <w:smallCaps w:val="false"/>
          <w:sz w:val="20"/>
          <w:u w:val="single"/>
        </w:rPr>
        <w:t>Release Date</w:t>
      </w:r>
      <w:r>
        <w:rPr>
          <w:rFonts w:ascii="Times New Roman" w:hAnsi="Times New Roman"/>
          <w:caps w:val="false"/>
          <w:smallCaps w:val="false"/>
          <w:sz w:val="20"/>
        </w:rPr>
        <w:t>”), including without limitation, those Released Claims in any way arising out of, connected with or related to any and all prior credit accommodations, if any, provided by the Bank, or any of the Bank’s predecessors in interest, to Borrower, and any agreements, notes or documents of any kind related thereto or the transactions contemplated thereby or hereby, or any other agreement or document referred to herein or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(b)    Borrower hereby acknowledges, represents and warrants to the Bank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 w:hAnsi="Times New Roman"/>
          <w:caps w:val="false"/>
          <w:smallCaps w:val="false"/>
          <w:sz w:val="20"/>
        </w:rPr>
      </w:pPr>
      <w:r>
        <w:rPr>
          <w:rFonts w:ascii="Times New Roman" w:hAnsi="Times New Roman"/>
          <w:caps w:val="false"/>
          <w:smallCaps w:val="false"/>
          <w:sz w:val="20"/>
        </w:rPr>
        <w:t>(i)    Borrower understands the meaning and effect of Section 1542 of the California Civil Code which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- 4 -</w:t>
      </w:r>
    </w:p>
    <w:p>
      <w:pPr>
        <w:pStyle w:val="HorizontalLine"/>
        <w:pBdr>
          <w:bottom w:val="double" w:sz="2" w:space="0" w:color="808080"/>
        </w:pBdr>
        <w:bidi w:val="0"/>
        <w:spacing w:before="0" w:after="283"/>
        <w:jc w:val="left"/>
        <w:rPr/>
      </w:pPr>
      <w:r>
        <w:rPr/>
      </w:r>
    </w:p>
    <w:p>
      <w:pPr>
        <w:pStyle w:val="TextBody"/>
        <w:bidi w:val="0"/>
        <w:ind w:left="0" w:right="0" w:firstLine="180"/>
        <w:jc w:val="left"/>
        <w:rPr/>
      </w:pPr>
      <w:r>
        <w:rPr/>
        <w:t> </w:t>
      </w:r>
    </w:p>
    <w:p>
      <w:pPr>
        <w:pStyle w:val="TextBody"/>
        <w:bidi w:val="0"/>
        <w:spacing w:before="0" w:after="0"/>
        <w:ind w:left="0" w:right="0" w:hanging="0"/>
        <w:jc w:val="left"/>
        <w:rPr/>
      </w:pPr>
      <w:r>
        <w:rPr/>
        <w:t> </w:t>
      </w:r>
    </w:p>
    <w:p>
      <w:pPr>
        <w:pStyle w:val="TextBody"/>
        <w:bidi w:val="0"/>
        <w:spacing w:before="0" w:after="0"/>
        <w:ind w:left="2340" w:right="0" w:hanging="0"/>
        <w:jc w:val="both"/>
        <w:rPr>
          <w:rFonts w:ascii="Times New Roman" w:hAnsi="Times New Roman"/>
          <w:caps w:val="false"/>
          <w:smallCaps w:val="false"/>
          <w:sz w:val="20"/>
        </w:rPr>
      </w:pPr>
      <w:r>
        <w:rPr>
          <w:rFonts w:ascii="Times New Roman" w:hAnsi="Times New Roman"/>
          <w:caps w:val="false"/>
          <w:smallCaps w:val="false"/>
          <w:sz w:val="20"/>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 w:hAnsi="Times New Roman"/>
          <w:caps w:val="false"/>
          <w:smallCaps w:val="false"/>
          <w:sz w:val="20"/>
        </w:rPr>
      </w:pPr>
      <w:r>
        <w:rPr>
          <w:rFonts w:ascii="Times New Roman" w:hAnsi="Times New Roman"/>
          <w:caps w:val="false"/>
          <w:smallCaps w:val="false"/>
          <w:sz w:val="20"/>
        </w:rPr>
        <w:t>(ii)    With regard to Section 1542 of the California Civil Code, Borrower agrees to assume the risk of any and all unknown, unanticipated or misunderstood defenses and Released Claims which are released by the provisions of this General Release in favor of the Bank, and Borrower hereby waives and releases all rights and benefits which they might otherwise have under Section 1542 of the California Civil Code with regard to the release of such unknown, unanticipated or misunderstood defenses and Released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(c)    Each person signing below on behalf of Borrower acknowledges that he or she has read each of the provisions of this General Release. Each such person fully understands that this General Release has important legal consequences and each such person realizes that they are releasing any and all Released Claims that Borrower may have as of the Release Date. Borrower hereby acknowledges that it had an opportunity to obtain a lawyer’s advice concerning the legal consequences of each of the provisions of this General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(d)    Borrower hereby specifically acknowledges and agrees that: (i) none of the provisions of this General Release shall be construed as or constitute an admission of any liability on the part of the Bank; (ii) the provisions of this General Release shall constitute an absolute bar to any Released Claim of any kind, whether any such Released Claim is based on contract, tort, warranty, mistake or any other theory, whether legal, statutory or equitable; and (iii) any attempt to assert a Released Claim barred by the provisions of this General Release shall subject Borrower to the provisions of applicable law setting forth the remedies for the bringing of groundless, frivolous or baseless claims or causes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Further Assurances</w:t>
      </w:r>
      <w:r>
        <w:rPr>
          <w:rFonts w:ascii="Times New Roman" w:hAnsi="Times New Roman"/>
          <w:caps w:val="false"/>
          <w:smallCaps w:val="false"/>
          <w:sz w:val="20"/>
        </w:rPr>
        <w:t>. Borrower agrees to execute such other and further documents and instruments as the Bank may request to implement the provisions of this Fifth Amendment and to perfect and protect the liens and security interests created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Benefit of Agreement</w:t>
      </w:r>
      <w:r>
        <w:rPr>
          <w:rFonts w:ascii="Times New Roman" w:hAnsi="Times New Roman"/>
          <w:caps w:val="false"/>
          <w:smallCaps w:val="false"/>
          <w:sz w:val="20"/>
        </w:rPr>
        <w:t>. This Fifth Amendment shall be binding upon and inure to the benefit of and be enforceable by the parties hereto, their respective successors and assigns. No other person or entity shall be entitled to claim any right or benefit hereunder, including without limitation, the status of a third-party beneficiary of this Fifth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Severability</w:t>
      </w:r>
      <w:r>
        <w:rPr>
          <w:rFonts w:ascii="Times New Roman" w:hAnsi="Times New Roman"/>
          <w:caps w:val="false"/>
          <w:smallCaps w:val="false"/>
          <w:sz w:val="20"/>
        </w:rPr>
        <w:t xml:space="preserve">. The provisions of this Fifth Amendment are intended to be severable. If any provisions of this Fifth Amendment shall be held invalid or unenforceable in whole or in part in any jurisdiction, such provision shall, as to such jurisdiction, be ineffective to the extent of such invalidity or enforceability without in any manner affecting the validity or enforceability of such provision in any other jurisdiction or the remaining provisions of this Fifth Amendment in any jurisdiction;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if the “Waiver and Release” provision hereof, or any portion thereof, is held to be invalid, illegal or unenforceable in any respect, the Bank may terminate this Fifth Amendment, the effect of which will be that all outstanding principal, accrued and unpaid interest, and all costs and expenses arising out of the Loan Documents shall be immediately due and payable in full without notice or demand and the Bank shall be entitled to the immediate exercise of all rights and remedies available to it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- 5 -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Counterparts; Facsimile or Scanned Signatures</w:t>
      </w:r>
      <w:r>
        <w:rPr>
          <w:rFonts w:ascii="Times New Roman" w:hAnsi="Times New Roman"/>
          <w:caps w:val="false"/>
          <w:smallCaps w:val="false"/>
          <w:sz w:val="20"/>
        </w:rPr>
        <w:t>. This Fifth Amendment may be executed in any number of counterparts and by different parties to this Fifth Amendment on separate counterparts, each of which, when so executed, shall be deemed an original, but all such counterparts shall constitute one and the same agreement. Any signature delivered by a party by facsimile transmission or scanned and emailed shall be deemed to be an original signature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2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Amendment</w:t>
      </w:r>
      <w:r>
        <w:rPr>
          <w:rFonts w:ascii="Times New Roman" w:hAnsi="Times New Roman"/>
          <w:caps w:val="false"/>
          <w:smallCaps w:val="false"/>
          <w:sz w:val="20"/>
        </w:rPr>
        <w:t>. No amendment, modification, rescission, waiver or release of any provision of this Fifth Amendment shall be effective unless the same shall be in writing and signed by the parties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40" w:right="0" w:firstLine="144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GOVERNING LAW</w:t>
      </w:r>
      <w:r>
        <w:rPr>
          <w:rFonts w:ascii="Times New Roman" w:hAnsi="Times New Roman"/>
          <w:caps w:val="false"/>
          <w:smallCaps w:val="false"/>
          <w:sz w:val="20"/>
        </w:rPr>
        <w:t>. THIS FIFTH AMENDMENT SHALL BE GOVERNED BY, AND CONSTRUED IN ACCORDANCE WITH, THE LAW OF THE STATE OF CALIFORNIA APPLICABLE TO CONTRACTS MADE AND TO BE PERFORMED IN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[REMAINDER OF PAGE LEFT BLANK; SIGNATURES ON FOLLOWING PAGE]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- 6 -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each of the parties hereto has caused this Agreement to be executed and delivered on the date first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60"/>
        <w:gridCol w:w="4475"/>
      </w:tblGrid>
      <w:tr>
        <w:trPr/>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BORROWER: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NATURAL ALTERNATIVES INTERNATIONAL,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/s/ Michael Fortin                           </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Michael Fortin, Chief Financial Officer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/s/ Kenneth E. Wolf                           </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Kenneth E. Wolf, President, Secretary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THE BANK: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 FARGO BANK,</w:t>
              <w:br/>
              <w:t>NATIONAL ASSOCIATION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         /s/ Casey Kelly                           </w:t>
            </w:r>
          </w:p>
          <w:p>
            <w:pPr>
              <w:pStyle w:val="TableContents"/>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Name:</w:t>
            </w:r>
            <w:r>
              <w:rPr>
                <w:rFonts w:ascii="Times New Roman" w:hAnsi="Times New Roman"/>
                <w:caps w:val="false"/>
                <w:smallCaps w:val="false"/>
                <w:sz w:val="20"/>
                <w:u w:val="single"/>
              </w:rPr>
              <w:t>         Casey Kelly                           </w:t>
            </w:r>
            <w:r>
              <w:rPr>
                <w:rFonts w:ascii="Times New Roman" w:hAnsi="Times New Roman"/>
                <w:caps w:val="false"/>
                <w:smallCaps w:val="false"/>
                <w:sz w:val="20"/>
              </w:rPr>
              <w:br/>
              <w:t>      Title:</w:t>
            </w:r>
            <w:r>
              <w:rPr>
                <w:rFonts w:ascii="Times New Roman" w:hAnsi="Times New Roman"/>
                <w:caps w:val="false"/>
                <w:smallCaps w:val="false"/>
                <w:sz w:val="20"/>
                <w:u w:val="single"/>
              </w:rPr>
              <w:t>         Executive Director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- 7 -</w:t>
      </w:r>
    </w:p>
    <w:p>
      <w:pPr>
        <w:pStyle w:val="TextBody"/>
        <w:bidi w:val="0"/>
        <w:spacing w:before="0" w:after="0"/>
        <w:ind w:left="0" w:right="0" w:hanging="0"/>
        <w:jc w:val="right"/>
        <w:rPr>
          <w:rFonts w:ascii="Times New Roman" w:hAnsi="Times New Roman"/>
          <w:b/>
          <w:caps w:val="false"/>
          <w:smallCaps w:val="false"/>
          <w:sz w:val="20"/>
        </w:rPr>
      </w:pPr>
      <w:bookmarkStart w:id="23" w:name="ex_779811.htm"/>
      <w:bookmarkStart w:id="24" w:name="ksex_779811"/>
      <w:bookmarkEnd w:id="23"/>
      <w:bookmarkEnd w:id="24"/>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Executive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Mark A. LeDoux, Chief Executive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w:t>
      </w:r>
      <w:r>
        <w:rPr>
          <w:rFonts w:ascii="Times New Roman" w:hAnsi="Times New Roman"/>
          <w:caps w:val="false"/>
          <w:smallCaps w:val="false"/>
          <w:sz w:val="20"/>
          <w:shd w:fill="FFFFFF" w:val="clear"/>
        </w:rPr>
        <w:t>e: May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95" w:type="dxa"/>
        <w:jc w:val="left"/>
        <w:tblInd w:w="0" w:type="dxa"/>
        <w:tblLayout w:type="fixed"/>
        <w:tblCellMar>
          <w:top w:w="0" w:type="dxa"/>
          <w:left w:w="0" w:type="dxa"/>
          <w:bottom w:w="28" w:type="dxa"/>
          <w:right w:w="0" w:type="dxa"/>
        </w:tblCellMar>
      </w:tblPr>
      <w:tblGrid>
        <w:gridCol w:w="3395"/>
      </w:tblGrid>
      <w:tr>
        <w:trPr/>
        <w:tc>
          <w:tcPr>
            <w:tcW w:w="3395" w:type="dxa"/>
            <w:tcBorders>
              <w:bottom w:val="single" w:sz="2" w:space="0" w:color="000000"/>
            </w:tcBorders>
            <w:vAlign w:val="center"/>
          </w:tcPr>
          <w:p>
            <w:pPr>
              <w:pStyle w:val="TableContents"/>
              <w:bidi w:val="0"/>
              <w:spacing w:before="0" w:after="283"/>
              <w:jc w:val="left"/>
              <w:rPr/>
            </w:pPr>
            <w:r>
              <w:rPr/>
              <w:t>/s/ Mark A. LeDoux</w:t>
            </w:r>
          </w:p>
        </w:tc>
      </w:tr>
      <w:tr>
        <w:trPr/>
        <w:tc>
          <w:tcPr>
            <w:tcW w:w="33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779812.htm"/>
      <w:bookmarkStart w:id="26" w:name="ksex_779812"/>
      <w:bookmarkEnd w:id="25"/>
      <w:bookmarkEnd w:id="26"/>
      <w:r>
        <w:rPr>
          <w:rFonts w:ascii="Times New Roman" w:hAnsi="Times New Roman"/>
          <w:b/>
          <w:caps w:val="false"/>
          <w:smallCaps w:val="false"/>
          <w:sz w:val="20"/>
        </w:rPr>
        <w:t xml:space="preserve">Exhibit 31.2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of Chief Financial Officer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Rule 13a-14(a)/15d-14(a)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Michael Fortin, Chief Financial Officer of Natural Alternatives International, Inc.,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Natural Alternatives International, Inc. (the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8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w:t>
      </w:r>
      <w:r>
        <w:rPr>
          <w:rFonts w:ascii="Times New Roman" w:hAnsi="Times New Roman"/>
          <w:caps w:val="false"/>
          <w:smallCaps w:val="false"/>
          <w:sz w:val="20"/>
          <w:shd w:fill="FFFFFF" w:val="clear"/>
        </w:rPr>
        <w:t>e: May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25" w:type="dxa"/>
        <w:jc w:val="left"/>
        <w:tblInd w:w="0" w:type="dxa"/>
        <w:tblLayout w:type="fixed"/>
        <w:tblCellMar>
          <w:top w:w="0" w:type="dxa"/>
          <w:left w:w="0" w:type="dxa"/>
          <w:bottom w:w="28" w:type="dxa"/>
          <w:right w:w="0" w:type="dxa"/>
        </w:tblCellMar>
      </w:tblPr>
      <w:tblGrid>
        <w:gridCol w:w="3425"/>
      </w:tblGrid>
      <w:tr>
        <w:trPr/>
        <w:tc>
          <w:tcPr>
            <w:tcW w:w="3425" w:type="dxa"/>
            <w:tcBorders>
              <w:bottom w:val="single" w:sz="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E. Fortin</w:t>
            </w:r>
          </w:p>
        </w:tc>
      </w:tr>
      <w:tr>
        <w:trPr/>
        <w:tc>
          <w:tcPr>
            <w:tcW w:w="34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Fortin,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779813.htm"/>
      <w:bookmarkStart w:id="28" w:name="ksex_779813"/>
      <w:bookmarkEnd w:id="27"/>
      <w:bookmarkEnd w:id="28"/>
      <w:r>
        <w:rPr>
          <w:rFonts w:ascii="Times New Roman" w:hAnsi="Times New Roman"/>
          <w:b/>
          <w:caps w:val="false"/>
          <w:smallCaps w:val="false"/>
          <w:sz w:val="20"/>
        </w:rPr>
        <w:t xml:space="preserve">Exhibit 32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 xml:space="preserve">906 of the Sarbanes-Oxley Act of 2002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(Subsections (a)</w:t>
      </w:r>
      <w:r>
        <w:rPr>
          <w:rFonts w:ascii="Times New Roman" w:hAnsi="Times New Roman"/>
          <w:caps w:val="false"/>
          <w:smallCaps w:val="false"/>
          <w:sz w:val="20"/>
        </w:rPr>
        <w:t> </w:t>
      </w:r>
      <w:r>
        <w:rPr>
          <w:rFonts w:ascii="Times New Roman" w:hAnsi="Times New Roman"/>
          <w:b/>
          <w:caps w:val="false"/>
          <w:smallCaps w:val="false"/>
          <w:sz w:val="20"/>
        </w:rPr>
        <w:t>and (b)</w:t>
      </w:r>
      <w:r>
        <w:rPr>
          <w:rFonts w:ascii="Times New Roman" w:hAnsi="Times New Roman"/>
          <w:caps w:val="false"/>
          <w:smallCaps w:val="false"/>
          <w:sz w:val="20"/>
        </w:rPr>
        <w:t> </w:t>
      </w:r>
      <w:r>
        <w:rPr>
          <w:rFonts w:ascii="Times New Roman" w:hAnsi="Times New Roman"/>
          <w:b/>
          <w:caps w:val="false"/>
          <w:smallCaps w:val="false"/>
          <w:sz w:val="20"/>
        </w:rPr>
        <w:t>of Section</w:t>
      </w:r>
      <w:r>
        <w:rPr>
          <w:rFonts w:ascii="Times New Roman" w:hAnsi="Times New Roman"/>
          <w:caps w:val="false"/>
          <w:smallCaps w:val="false"/>
          <w:sz w:val="20"/>
        </w:rPr>
        <w:t> </w:t>
      </w:r>
      <w:r>
        <w:rPr>
          <w:rFonts w:ascii="Times New Roman" w:hAnsi="Times New Roman"/>
          <w:b/>
          <w:caps w:val="false"/>
          <w:smallCaps w:val="false"/>
          <w:sz w:val="20"/>
        </w:rPr>
        <w:t xml:space="preserve">1350, Chapter 63 of Title 18, United States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(Subsections (a) and (b) of Section 1350, Chapter 63 of Title 18, United States Code), each of the undersigned officers of Natural Alternatives International, Inc., a Delaware corporation, does hereby certify, that the Quarterly Report on Form 10-Q for the quarterly period ended </w:t>
      </w:r>
      <w:bookmarkStart w:id="29" w:name="led468412F20239181697666485394"/>
      <w:bookmarkEnd w:id="29"/>
      <w:r>
        <w:rPr>
          <w:rFonts w:ascii="Times New Roman" w:hAnsi="Times New Roman"/>
          <w:caps w:val="false"/>
          <w:smallCaps w:val="false"/>
          <w:sz w:val="20"/>
        </w:rPr>
        <w:t>March 31, 2025 of Natural Alternatives International, Inc. fully complies with the requirements of Section 13(a) or 15(d) of the Securities Exchange Act of 1934 (15 U.S.C. 78m or 78o(d)) and that information contained in such report fairly presents, in all material respects, the financial condition and results of operations of Natural Alternatives International, Inc.</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1925"/>
        <w:gridCol w:w="60"/>
        <w:gridCol w:w="3395"/>
      </w:tblGrid>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shd w:fill="FFFFFF" w:val="clear"/>
              </w:rPr>
              <w:t>ate: May 14, 2025</w:t>
            </w:r>
          </w:p>
        </w:tc>
        <w:tc>
          <w:tcPr>
            <w:tcW w:w="60" w:type="dxa"/>
            <w:tcBorders/>
            <w:vAlign w:val="center"/>
          </w:tcPr>
          <w:p>
            <w:pPr>
              <w:pStyle w:val="TableContents"/>
              <w:bidi w:val="0"/>
              <w:spacing w:before="0" w:after="283"/>
              <w:jc w:val="left"/>
              <w:rPr/>
            </w:pPr>
            <w:r>
              <w:rPr/>
              <w:t> </w:t>
            </w:r>
          </w:p>
        </w:tc>
        <w:tc>
          <w:tcPr>
            <w:tcW w:w="3395" w:type="dxa"/>
            <w:tcBorders>
              <w:bottom w:val="single" w:sz="2" w:space="0" w:color="000000"/>
            </w:tcBorders>
            <w:tcMar>
              <w:bottom w:w="28" w:type="dxa"/>
            </w:tcMar>
            <w:vAlign w:val="center"/>
          </w:tcPr>
          <w:p>
            <w:pPr>
              <w:pStyle w:val="TableContents"/>
              <w:bidi w:val="0"/>
              <w:spacing w:before="0" w:after="283"/>
              <w:jc w:val="left"/>
              <w:rPr/>
            </w:pPr>
            <w:r>
              <w:rPr/>
              <w:t>/s/ Mark A. LeDoux</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A. LeDoux, Chief Executive Officer</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D</w:t>
            </w:r>
            <w:r>
              <w:rPr>
                <w:shd w:fill="FFFFFF" w:val="clear"/>
              </w:rPr>
              <w:t>ate: May 14, 2025</w:t>
            </w:r>
          </w:p>
        </w:tc>
        <w:tc>
          <w:tcPr>
            <w:tcW w:w="60" w:type="dxa"/>
            <w:tcBorders/>
            <w:vAlign w:val="center"/>
          </w:tcPr>
          <w:p>
            <w:pPr>
              <w:pStyle w:val="TableContents"/>
              <w:bidi w:val="0"/>
              <w:spacing w:before="0" w:after="283"/>
              <w:jc w:val="left"/>
              <w:rPr/>
            </w:pPr>
            <w:r>
              <w:rPr/>
              <w:t> </w:t>
            </w:r>
          </w:p>
        </w:tc>
        <w:tc>
          <w:tcPr>
            <w:tcW w:w="3395" w:type="dxa"/>
            <w:tcBorders>
              <w:bottom w:val="single" w:sz="2" w:space="0" w:color="000000"/>
            </w:tcBorders>
            <w:tcMar>
              <w:bottom w:w="28" w:type="dxa"/>
            </w:tcMar>
            <w:vAlign w:val="center"/>
          </w:tcPr>
          <w:p>
            <w:pPr>
              <w:pStyle w:val="TableContents"/>
              <w:bidi w:val="0"/>
              <w:spacing w:before="0" w:after="283"/>
              <w:jc w:val="left"/>
              <w:rPr/>
            </w:pPr>
            <w:r>
              <w:rPr/>
              <w:t>/s/ Michael E. Fortin</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Michael E. Fortin,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foregoing certification is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87253/000119312505029203/dex3i.htm" TargetMode="External"/><Relationship Id="rId3" Type="http://schemas.openxmlformats.org/officeDocument/2006/relationships/hyperlink" Target="http://www.sec.gov/Archives/edgar/data/787253/000119312509029259/dex3ii.htm" TargetMode="External"/><Relationship Id="rId4" Type="http://schemas.openxmlformats.org/officeDocument/2006/relationships/hyperlink" Target="http://www.sec.gov/Archives/edgar/data/787253/000119312505182282/dex4i.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18862</Words>
  <Characters>99601</Characters>
  <CharactersWithSpaces>120905</CharactersWithSpaces>
  <Paragraphs>6451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