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Matherly Laura Kay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NATURAL ALTERNATIVES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INTERNATIONAL 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NAII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1535 FARADAY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CARLSBAD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represents a grant of restricted stock to an outside Director pursuant to the Issuer's 2020 Omnibus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(2,667 shares) of the restricted stock vests on March 7, 2026; one third (2,667 shares) of the restricted stock vests on March 7, 2027, and the final third (2,666 shares) of the restricted stock vests on March 7, 2028.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Laura Kay Matherly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49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E. Wolf Attorney in</w:t>
        <w:tab/>
        <w:t>03/11/2025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5928" TargetMode="External"/><Relationship Id="rId14" Type="http://schemas.openxmlformats.org/officeDocument/2006/relationships/hyperlink" Target="http://www.sec.gov/cgi-bin/browse-edgar?action=getcompany&amp;CIK=0000787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2025-03-11T16:26:56Z</dcterms:created>
  <dcterms:modified xsi:type="dcterms:W3CDTF">2025-03-11T16:26:56Z</dcterms:modified>
</cp:coreProperties>
</file>