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Dunn Alan 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grant of restricted stock to an outside Director pursuant to the Issuer's 2020 Omnibus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(2,667 shares) of the restricted stock vests on March 7, 2027; one third (2,667 shares) of the restricted stock vests on March 7, 2028, and the final third (2,666 shares) of the restricted stock vests on March 7, 2029.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Alan G. Dunn By Kenneth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E. Wolf Attorney in 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7087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2026-03-10T14:36:03Z</dcterms:created>
  <dcterms:modified xsi:type="dcterms:W3CDTF">2026-03-10T14:36:03Z</dcterms:modified>
</cp:coreProperties>
</file>