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WOLF KENNETH</w:t>
              </w:r>
            </w:hyperlink>
          </w:p>
        </w:tc>
        <w:tc>
          <w:tcPr>
            <w:tcW w:w="6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NATURAL ALTERNATIVES</w:t>
              </w:r>
            </w:hyperlink>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6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80" w:type="dxa"/>
            <w:vAlign w:val="bottom"/>
            <w:tcBorders>
              <w:bottom w:val="single" w:sz="8" w:color="0000EE"/>
            </w:tcBorders>
            <w:gridSpan w:val="4"/>
            <w:vMerge w:val="continue"/>
          </w:tcPr>
          <w:p>
            <w:pPr>
              <w:spacing w:after="0"/>
              <w:rPr>
                <w:sz w:val="5"/>
                <w:szCs w:val="5"/>
                <w:color w:val="auto"/>
              </w:rPr>
            </w:pPr>
          </w:p>
        </w:tc>
        <w:tc>
          <w:tcPr>
            <w:tcW w:w="620" w:type="dxa"/>
            <w:vAlign w:val="bottom"/>
            <w:vMerge w:val="restart"/>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INTERNATIONAL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NAII</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gridSpan w:val="4"/>
          </w:tcPr>
          <w:p>
            <w:pPr>
              <w:spacing w:after="0"/>
              <w:rPr>
                <w:sz w:val="4"/>
                <w:szCs w:val="4"/>
                <w:color w:val="auto"/>
              </w:rPr>
            </w:pPr>
          </w:p>
        </w:tc>
        <w:tc>
          <w:tcPr>
            <w:tcW w:w="62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Borders>
              <w:top w:val="single" w:sz="8" w:color="EEEEEE"/>
            </w:tcBorders>
          </w:tcPr>
          <w:p>
            <w:pPr>
              <w:spacing w:after="0"/>
              <w:rPr>
                <w:sz w:val="8"/>
                <w:szCs w:val="8"/>
                <w:color w:val="auto"/>
              </w:rPr>
            </w:pPr>
          </w:p>
        </w:tc>
        <w:tc>
          <w:tcPr>
            <w:tcW w:w="1120" w:type="dxa"/>
            <w:vAlign w:val="bottom"/>
            <w:tcBorders>
              <w:top w:val="single" w:sz="8" w:color="EEEEEE"/>
              <w:bottom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40" w:type="dxa"/>
            <w:vAlign w:val="bottom"/>
            <w:gridSpan w:val="3"/>
            <w:vMerge w:val="restart"/>
          </w:tcPr>
          <w:p>
            <w:pPr>
              <w:ind w:left="360"/>
              <w:spacing w:after="0"/>
              <w:rPr>
                <w:sz w:val="20"/>
                <w:szCs w:val="20"/>
                <w:color w:val="auto"/>
              </w:rPr>
            </w:pPr>
            <w:r>
              <w:rPr>
                <w:rFonts w:ascii="Times New Roman" w:cs="Times New Roman" w:eastAsia="Times New Roman" w:hAnsi="Times New Roman"/>
                <w:sz w:val="17"/>
                <w:szCs w:val="17"/>
                <w:color w:val="0000FF"/>
              </w:rPr>
              <w:t>President, COO, &amp; Sec.</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4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1535 FARADAY AVENUE</w:t>
            </w:r>
          </w:p>
        </w:tc>
        <w:tc>
          <w:tcPr>
            <w:tcW w:w="1340" w:type="dxa"/>
            <w:vAlign w:val="bottom"/>
          </w:tcPr>
          <w:p>
            <w:pPr>
              <w:spacing w:after="0"/>
              <w:rPr>
                <w:sz w:val="10"/>
                <w:szCs w:val="10"/>
                <w:color w:val="auto"/>
              </w:rPr>
            </w:pPr>
          </w:p>
        </w:tc>
        <w:tc>
          <w:tcPr>
            <w:tcW w:w="16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03/07/2025</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1340" w:type="dxa"/>
            <w:vAlign w:val="bottom"/>
          </w:tcPr>
          <w:p>
            <w:pPr>
              <w:spacing w:after="0"/>
              <w:rPr>
                <w:sz w:val="11"/>
                <w:szCs w:val="11"/>
                <w:color w:val="auto"/>
              </w:rPr>
            </w:pPr>
          </w:p>
        </w:tc>
        <w:tc>
          <w:tcPr>
            <w:tcW w:w="1620" w:type="dxa"/>
            <w:vAlign w:val="bottom"/>
            <w:gridSpan w:val="6"/>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120" w:type="dxa"/>
            <w:vAlign w:val="bottom"/>
            <w:tcBorders>
              <w:bottom w:val="single" w:sz="8" w:color="2C2C2C"/>
            </w:tcBorders>
            <w:gridSpan w:val="4"/>
          </w:tcPr>
          <w:p>
            <w:pPr>
              <w:spacing w:after="0"/>
              <w:rPr>
                <w:sz w:val="9"/>
                <w:szCs w:val="9"/>
                <w:color w:val="auto"/>
              </w:rPr>
            </w:pPr>
          </w:p>
        </w:tc>
        <w:tc>
          <w:tcPr>
            <w:tcW w:w="480" w:type="dxa"/>
            <w:vAlign w:val="bottom"/>
            <w:tcBorders>
              <w:bottom w:val="single" w:sz="8" w:color="2C2C2C"/>
            </w:tcBorders>
            <w:gridSpan w:val="2"/>
          </w:tcPr>
          <w:p>
            <w:pPr>
              <w:spacing w:after="0"/>
              <w:rPr>
                <w:sz w:val="9"/>
                <w:szCs w:val="9"/>
                <w:color w:val="auto"/>
              </w:rPr>
            </w:pPr>
          </w:p>
        </w:tc>
        <w:tc>
          <w:tcPr>
            <w:tcW w:w="800" w:type="dxa"/>
            <w:vAlign w:val="bottom"/>
            <w:tcBorders>
              <w:bottom w:val="single" w:sz="8" w:color="2C2C2C"/>
            </w:tcBorders>
            <w:gridSpan w:val="2"/>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CARLSBAD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92008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4"/>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11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20"/>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7,559</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3.835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131,994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a resale of 7,559 shares to the Issuer as payment of the reporting person's tax liability upon vesting of 13,500 shares of restricted stock on March 7, 2025, using the closing stock price on March 7, 2025, of $3.835 per share.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Kenneth E. Wolf</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03/11/2025</w:t>
            </w: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4452" TargetMode="External"/><Relationship Id="rId14" Type="http://schemas.openxmlformats.org/officeDocument/2006/relationships/hyperlink" Target="http://www.sec.gov/cgi-bin/browse-edgar?action=getcompany&amp;CIK=0000787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2025-03-11T16:29:01Z</dcterms:created>
  <dcterms:modified xsi:type="dcterms:W3CDTF">2025-03-11T16:29:01Z</dcterms:modified>
</cp:coreProperties>
</file>