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LEDOUX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1535 FARADAY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NATURAL ALTERNATIVES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NAII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CEO/Chairman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3"/>
        <w:gridCol w:w="924"/>
        <w:gridCol w:w="792"/>
        <w:gridCol w:w="614"/>
        <w:gridCol w:w="348"/>
        <w:gridCol w:w="788"/>
        <w:gridCol w:w="440"/>
        <w:gridCol w:w="760"/>
        <w:gridCol w:w="1148"/>
        <w:gridCol w:w="990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2.81</w:t>
            </w:r>
            <w:r>
              <w:rPr/>
              <w:t xml:space="preserve">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157,221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2.846</w:t>
            </w:r>
            <w:r>
              <w:rPr/>
              <w:t xml:space="preserve">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157,721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</w:t>
            </w:r>
            <w:r>
              <w:rPr/>
              <w:t xml:space="preserve">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157,971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481,905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LeDoux Family Limited Partnership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69,416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Self as Custodian for Marcelle Jeannette LeDoux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Self as Custodian for Jean-Marc Emile LeDoux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Self as Custodian for Aimee LeDoux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 Kenneth E. Wolf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15556" TargetMode="External"/><Relationship Id="rId5" Type="http://schemas.openxmlformats.org/officeDocument/2006/relationships/hyperlink" Target="http://www.sec.gov/cgi-bin/browse-edgar?action=getcompany&amp;CIK=0000787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3367</Characters>
  <CharactersWithSpaces>3904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