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ii20260630_10k.htm"/>
      <w:bookmarkStart w:id="1" w:name="ksnaii20260630_10k"/>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FORM 10-K </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For the fiscal year ended June 30, 2026</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 the transition period from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000-15701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NATURAL ALTERNATIVES INTERNATIONAL,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90"/>
        <w:gridCol w:w="288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84-1007839</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 of incorporation)</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(IRS Employer Identification No.)</w:t>
            </w:r>
          </w:p>
        </w:tc>
      </w:tr>
      <w:tr>
        <w:trPr/>
        <w:tc>
          <w:tcPr>
            <w:tcW w:w="32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1535 Faraday Ave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Carlsbad, CA 92008</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(760) 736-7700</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(Address of principal executive offices)</w:t>
            </w:r>
          </w:p>
        </w:tc>
        <w:tc>
          <w:tcPr>
            <w:tcW w:w="28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(Registrant</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telephone number)</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12(b) of the Act: </w:t>
      </w:r>
    </w:p>
    <w:tbl>
      <w:tblPr>
        <w:tblW w:w="8685" w:type="dxa"/>
        <w:jc w:val="left"/>
        <w:tblInd w:w="0" w:type="dxa"/>
        <w:tblLayout w:type="fixed"/>
        <w:tblCellMar>
          <w:top w:w="0" w:type="dxa"/>
          <w:left w:w="0" w:type="dxa"/>
          <w:bottom w:w="28" w:type="dxa"/>
          <w:right w:w="0" w:type="dxa"/>
        </w:tblCellMar>
      </w:tblPr>
      <w:tblGrid>
        <w:gridCol w:w="3395"/>
        <w:gridCol w:w="1535"/>
        <w:gridCol w:w="3755"/>
      </w:tblGrid>
      <w:tr>
        <w:trPr/>
        <w:tc>
          <w:tcPr>
            <w:tcW w:w="339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NAII</w:t>
            </w:r>
          </w:p>
        </w:tc>
        <w:tc>
          <w:tcPr>
            <w:tcW w:w="37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Natural Alternatives International, Inc. (NAI) is a well-known seasoned issuer, as defined in Rule 405 of the Securities Act of 1933.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NAI is not required to file reports pursuant to Section 13 or Section 15(d) of the Securities Exchange Act of 1934.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NAI (1) has filed all reports required to be filed by Section 13 or 15(d) of the Securities Exchange Act of 1934 during the preceding 12 months (or for such shorter period that NAI was required to file such reports), and (2) has been subject to such filing requirements for the past 90 days.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NAI has submitted electronically every Interactive Data File required to be submitted pursuant to Rule 405 of Regulation S-T during the preceding 12 months (or for such shorter period that NAI was required to submit such files).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NAI is a large accelerated filer, an accelerated filer, a non-accelerated filer, a smaller reporting company, or an emerging growth company.</w:t>
      </w:r>
    </w:p>
    <w:p>
      <w:pPr>
        <w:pStyle w:val="TextBody"/>
        <w:bidi w:val="0"/>
        <w:spacing w:before="0" w:after="0"/>
        <w:ind w:left="0" w:right="0" w:hanging="0"/>
        <w:jc w:val="left"/>
        <w:rPr>
          <w:caps w:val="false"/>
          <w:smallCaps w:val="false"/>
        </w:rPr>
      </w:pPr>
      <w:r>
        <w:rPr>
          <w:caps w:val="false"/>
          <w:smallCaps w:val="false"/>
        </w:rPr>
        <w:t> </w:t>
      </w:r>
    </w:p>
    <w:tbl>
      <w:tblPr>
        <w:tblW w:w="8310" w:type="dxa"/>
        <w:jc w:val="left"/>
        <w:tblInd w:w="0" w:type="dxa"/>
        <w:tblLayout w:type="fixed"/>
        <w:tblCellMar>
          <w:top w:w="0" w:type="dxa"/>
          <w:left w:w="0" w:type="dxa"/>
          <w:bottom w:w="0" w:type="dxa"/>
          <w:right w:w="0" w:type="dxa"/>
        </w:tblCellMar>
      </w:tblPr>
      <w:tblGrid>
        <w:gridCol w:w="2420"/>
        <w:gridCol w:w="2855"/>
        <w:gridCol w:w="3035"/>
      </w:tblGrid>
      <w:tr>
        <w:trPr/>
        <w:tc>
          <w:tcPr>
            <w:tcW w:w="2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Large accelerated filer         ☐</w:t>
            </w:r>
          </w:p>
        </w:tc>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Accelerated filer                           ☐</w:t>
            </w:r>
          </w:p>
        </w:tc>
        <w:tc>
          <w:tcPr>
            <w:tcW w:w="3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Emerging Growth Company            ☐</w:t>
            </w:r>
          </w:p>
        </w:tc>
      </w:tr>
      <w:tr>
        <w:trPr/>
        <w:tc>
          <w:tcPr>
            <w:tcW w:w="242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Non-accelerated filer           ☒</w:t>
            </w:r>
          </w:p>
        </w:tc>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Smaller reporting company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NAI is a shell company (as defined in Rule 12b-2 of the Exchange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market value of NAI’s common stock held by non-affiliates of NAI as of the last business day of NAI’s most recently completed second fiscal quarter (December 31, 2025) was approximately $22,113,000 (based on the closing sale price of $3.58 reported by Nasdaq on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28, 2026, 6,264,847 shares of NAI’s common stock were outstanding, net of 3,387,059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DOCUMENTS INCORPORATED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III (Items 10, 11, 12, 13 and 14) of this Form 10-K incorporates by reference portions of NAI’s definitive proxy statement, to be filed on or before October 28, 2026, for its Annual Meeting of Stockholders to be held December 11,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9705" w:type="dxa"/>
        <w:jc w:val="left"/>
        <w:tblInd w:w="0" w:type="dxa"/>
        <w:tblLayout w:type="fixed"/>
        <w:tblCellMar>
          <w:top w:w="0" w:type="dxa"/>
          <w:left w:w="0" w:type="dxa"/>
          <w:bottom w:w="0" w:type="dxa"/>
          <w:right w:w="0" w:type="dxa"/>
        </w:tblCellMar>
      </w:tblPr>
      <w:tblGrid>
        <w:gridCol w:w="845"/>
        <w:gridCol w:w="8375"/>
        <w:gridCol w:w="485"/>
      </w:tblGrid>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t> </w:t>
            </w:r>
          </w:p>
        </w:tc>
      </w:tr>
      <w:tr>
        <w:trPr/>
        <w:tc>
          <w:tcPr>
            <w:tcW w:w="9220" w:type="dxa"/>
            <w:gridSpan w:val="2"/>
            <w:tcBorders/>
            <w:vAlign w:val="center"/>
          </w:tcPr>
          <w:p>
            <w:pPr>
              <w:pStyle w:val="TableContents"/>
              <w:bidi w:val="0"/>
              <w:spacing w:before="0" w:after="0"/>
              <w:ind w:left="0" w:right="0" w:hanging="0"/>
              <w:jc w:val="left"/>
              <w:rPr/>
            </w:pPr>
            <w:hyperlink w:anchor="note">
              <w:r>
                <w:rPr>
                  <w:rStyle w:val="InternetLink"/>
                  <w:rFonts w:ascii="Times New Roman" w:hAnsi="Times New Roman"/>
                  <w:b/>
                  <w:caps w:val="false"/>
                  <w:smallCaps w:val="false"/>
                  <w:sz w:val="20"/>
                  <w:u w:val="single"/>
                </w:rPr>
                <w:t xml:space="preserve">SPECIAL NOTE ABOUT FORWARD-LOOKING STATEMENTS </w:t>
              </w:r>
            </w:hyperlink>
          </w:p>
        </w:tc>
        <w:tc>
          <w:tcPr>
            <w:tcW w:w="485" w:type="dxa"/>
            <w:tcBorders/>
            <w:vAlign w:val="center"/>
          </w:tcPr>
          <w:p>
            <w:pPr>
              <w:pStyle w:val="TableContents"/>
              <w:bidi w:val="0"/>
              <w:spacing w:before="0" w:after="0"/>
              <w:ind w:left="0" w:right="0" w:hanging="0"/>
              <w:jc w:val="right"/>
              <w:rPr/>
            </w:pPr>
            <w:hyperlink w:anchor="note">
              <w:r>
                <w:rPr>
                  <w:rStyle w:val="InternetLink"/>
                  <w:rFonts w:ascii="Times New Roman" w:hAnsi="Times New Roman"/>
                  <w:caps w:val="false"/>
                  <w:smallCaps w:val="false"/>
                  <w:sz w:val="20"/>
                </w:rPr>
                <w:t>1</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pPr>
            <w:hyperlink w:anchor="p1">
              <w:r>
                <w:rPr>
                  <w:rStyle w:val="InternetLink"/>
                  <w:rFonts w:ascii="Times New Roman" w:hAnsi="Times New Roman"/>
                  <w:b/>
                  <w:caps w:val="false"/>
                  <w:smallCaps w:val="false"/>
                  <w:sz w:val="20"/>
                  <w:u w:val="single"/>
                </w:rPr>
                <w:t>PART</w:t>
              </w:r>
            </w:hyperlink>
            <w:hyperlink w:anchor="p1">
              <w:r>
                <w:rPr>
                  <w:rStyle w:val="InternetLink"/>
                  <w:rFonts w:ascii="Times New Roman" w:hAnsi="Times New Roman"/>
                  <w:caps w:val="false"/>
                  <w:smallCaps w:val="false"/>
                  <w:sz w:val="20"/>
                  <w:u w:val="single"/>
                </w:rPr>
                <w:t> </w:t>
              </w:r>
            </w:hyperlink>
            <w:hyperlink w:anchor="p1">
              <w:r>
                <w:rPr>
                  <w:rStyle w:val="InternetLink"/>
                  <w:rFonts w:ascii="Times New Roman" w:hAnsi="Times New Roman"/>
                  <w:b/>
                  <w:caps w:val="false"/>
                  <w:smallCaps w:val="false"/>
                  <w:sz w:val="20"/>
                  <w:u w:val="single"/>
                </w:rPr>
                <w:t>I</w:t>
              </w:r>
            </w:hyperlink>
            <w:hyperlink w:anchor="p1">
              <w:r>
                <w:rPr>
                  <w:rStyle w:val="InternetLink"/>
                  <w:rFonts w:ascii="Times New Roman" w:hAnsi="Times New Roman"/>
                  <w:caps w:val="false"/>
                  <w:smallCaps w:val="false"/>
                  <w:sz w:val="20"/>
                  <w:u w:val="single"/>
                </w:rPr>
                <w:t> </w:t>
              </w:r>
            </w:hyperlink>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375" w:type="dxa"/>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u w:val="single"/>
                </w:rPr>
                <w:t>Business</w:t>
              </w:r>
            </w:hyperlink>
          </w:p>
        </w:tc>
        <w:tc>
          <w:tcPr>
            <w:tcW w:w="485" w:type="dxa"/>
            <w:tcBorders/>
            <w:vAlign w:val="center"/>
          </w:tcPr>
          <w:p>
            <w:pPr>
              <w:pStyle w:val="TableContents"/>
              <w:bidi w:val="0"/>
              <w:spacing w:before="0" w:after="283"/>
              <w:jc w:val="right"/>
              <w:rPr/>
            </w:pPr>
            <w:hyperlink w:anchor="p1">
              <w:r>
                <w:rPr>
                  <w:rStyle w:val="InternetLink"/>
                </w:rPr>
                <w:t>2</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375" w:type="dxa"/>
            <w:tcBorders/>
            <w:vAlign w:val="center"/>
          </w:tcPr>
          <w:p>
            <w:pPr>
              <w:pStyle w:val="TableContents"/>
              <w:bidi w:val="0"/>
              <w:spacing w:before="0" w:after="0"/>
              <w:ind w:left="0" w:right="0" w:hanging="0"/>
              <w:jc w:val="left"/>
              <w:rPr/>
            </w:pPr>
            <w:hyperlink w:anchor="i1a">
              <w:r>
                <w:rPr>
                  <w:rStyle w:val="InternetLink"/>
                  <w:rFonts w:ascii="Times New Roman" w:hAnsi="Times New Roman"/>
                  <w:caps w:val="false"/>
                  <w:smallCaps w:val="false"/>
                  <w:sz w:val="20"/>
                  <w:u w:val="single"/>
                </w:rPr>
                <w:t>Risk Factors</w:t>
              </w:r>
            </w:hyperlink>
          </w:p>
        </w:tc>
        <w:tc>
          <w:tcPr>
            <w:tcW w:w="485" w:type="dxa"/>
            <w:tcBorders/>
            <w:vAlign w:val="center"/>
          </w:tcPr>
          <w:p>
            <w:pPr>
              <w:pStyle w:val="TableContents"/>
              <w:bidi w:val="0"/>
              <w:spacing w:before="0" w:after="283"/>
              <w:jc w:val="right"/>
              <w:rPr/>
            </w:pPr>
            <w:hyperlink w:anchor="i1a">
              <w:r>
                <w:rPr>
                  <w:rStyle w:val="InternetLink"/>
                </w:rPr>
                <w:t>7</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283"/>
              <w:jc w:val="left"/>
              <w:rPr/>
            </w:pPr>
            <w:r>
              <w:rPr/>
              <w:t>Item 1C.</w:t>
            </w:r>
          </w:p>
        </w:tc>
        <w:tc>
          <w:tcPr>
            <w:tcW w:w="8375" w:type="dxa"/>
            <w:tcBorders/>
            <w:vAlign w:val="center"/>
          </w:tcPr>
          <w:p>
            <w:pPr>
              <w:pStyle w:val="TableContents"/>
              <w:bidi w:val="0"/>
              <w:spacing w:before="0" w:after="283"/>
              <w:jc w:val="left"/>
              <w:rPr/>
            </w:pPr>
            <w:hyperlink w:anchor="item1c">
              <w:r>
                <w:rPr>
                  <w:rStyle w:val="InternetLink"/>
                  <w:u w:val="single"/>
                </w:rPr>
                <w:t>Cybersecurity</w:t>
              </w:r>
            </w:hyperlink>
          </w:p>
        </w:tc>
        <w:tc>
          <w:tcPr>
            <w:tcW w:w="485" w:type="dxa"/>
            <w:tcBorders/>
            <w:vAlign w:val="center"/>
          </w:tcPr>
          <w:p>
            <w:pPr>
              <w:pStyle w:val="TableContents"/>
              <w:bidi w:val="0"/>
              <w:spacing w:before="0" w:after="283"/>
              <w:jc w:val="right"/>
              <w:rPr/>
            </w:pPr>
            <w:hyperlink w:anchor="item1c">
              <w:r>
                <w:rPr>
                  <w:rStyle w:val="InternetLink"/>
                </w:rPr>
                <w:t>15</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375" w:type="dxa"/>
            <w:tcBorders/>
            <w:vAlign w:val="center"/>
          </w:tcPr>
          <w:p>
            <w:pPr>
              <w:pStyle w:val="TableContents"/>
              <w:bidi w:val="0"/>
              <w:spacing w:before="0" w:after="0"/>
              <w:ind w:left="0" w:right="0" w:hanging="0"/>
              <w:jc w:val="left"/>
              <w:rPr/>
            </w:pPr>
            <w:hyperlink w:anchor="i2">
              <w:r>
                <w:rPr>
                  <w:rStyle w:val="InternetLink"/>
                  <w:rFonts w:ascii="Times New Roman" w:hAnsi="Times New Roman"/>
                  <w:caps w:val="false"/>
                  <w:smallCaps w:val="false"/>
                  <w:sz w:val="20"/>
                  <w:u w:val="single"/>
                </w:rPr>
                <w:t>Properties</w:t>
              </w:r>
            </w:hyperlink>
          </w:p>
        </w:tc>
        <w:tc>
          <w:tcPr>
            <w:tcW w:w="485" w:type="dxa"/>
            <w:tcBorders/>
            <w:vAlign w:val="center"/>
          </w:tcPr>
          <w:p>
            <w:pPr>
              <w:pStyle w:val="TableContents"/>
              <w:bidi w:val="0"/>
              <w:spacing w:before="0" w:after="283"/>
              <w:jc w:val="right"/>
              <w:rPr/>
            </w:pPr>
            <w:hyperlink w:anchor="i2">
              <w:r>
                <w:rPr>
                  <w:rStyle w:val="InternetLink"/>
                </w:rPr>
                <w:t>16</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375" w:type="dxa"/>
            <w:tcBorders/>
            <w:vAlign w:val="center"/>
          </w:tcPr>
          <w:p>
            <w:pPr>
              <w:pStyle w:val="TableContents"/>
              <w:bidi w:val="0"/>
              <w:spacing w:before="0" w:after="0"/>
              <w:ind w:left="0" w:right="0" w:hanging="0"/>
              <w:jc w:val="left"/>
              <w:rPr/>
            </w:pPr>
            <w:hyperlink w:anchor="i3">
              <w:r>
                <w:rPr>
                  <w:rStyle w:val="InternetLink"/>
                  <w:rFonts w:ascii="Times New Roman" w:hAnsi="Times New Roman"/>
                  <w:caps w:val="false"/>
                  <w:smallCaps w:val="false"/>
                  <w:sz w:val="20"/>
                  <w:u w:val="single"/>
                </w:rPr>
                <w:t>Legal Proceedings</w:t>
              </w:r>
            </w:hyperlink>
          </w:p>
        </w:tc>
        <w:tc>
          <w:tcPr>
            <w:tcW w:w="485" w:type="dxa"/>
            <w:tcBorders/>
            <w:vAlign w:val="center"/>
          </w:tcPr>
          <w:p>
            <w:pPr>
              <w:pStyle w:val="TableContents"/>
              <w:bidi w:val="0"/>
              <w:spacing w:before="0" w:after="283"/>
              <w:jc w:val="right"/>
              <w:rPr/>
            </w:pPr>
            <w:hyperlink w:anchor="i3">
              <w:r>
                <w:rPr>
                  <w:rStyle w:val="InternetLink"/>
                </w:rPr>
                <w:t>16</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375" w:type="dxa"/>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u w:val="single"/>
                </w:rPr>
                <w:t>Mine Safety Disclosures</w:t>
              </w:r>
            </w:hyperlink>
          </w:p>
        </w:tc>
        <w:tc>
          <w:tcPr>
            <w:tcW w:w="485" w:type="dxa"/>
            <w:tcBorders/>
            <w:vAlign w:val="center"/>
          </w:tcPr>
          <w:p>
            <w:pPr>
              <w:pStyle w:val="TableContents"/>
              <w:bidi w:val="0"/>
              <w:spacing w:before="0" w:after="283"/>
              <w:jc w:val="right"/>
              <w:rPr/>
            </w:pPr>
            <w:hyperlink w:anchor="i4">
              <w:r>
                <w:rPr>
                  <w:rStyle w:val="InternetLink"/>
                </w:rPr>
                <w:t>16</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u w:val="single"/>
                </w:rPr>
                <w:t>PART</w:t>
              </w:r>
            </w:hyperlink>
            <w:hyperlink w:anchor="p2">
              <w:r>
                <w:rPr>
                  <w:rStyle w:val="InternetLink"/>
                  <w:rFonts w:ascii="Times New Roman" w:hAnsi="Times New Roman"/>
                  <w:caps w:val="false"/>
                  <w:smallCaps w:val="false"/>
                  <w:sz w:val="20"/>
                  <w:u w:val="single"/>
                </w:rPr>
                <w:t> </w:t>
              </w:r>
            </w:hyperlink>
            <w:hyperlink w:anchor="p2">
              <w:r>
                <w:rPr>
                  <w:rStyle w:val="InternetLink"/>
                  <w:rFonts w:ascii="Times New Roman" w:hAnsi="Times New Roman"/>
                  <w:b/>
                  <w:caps w:val="false"/>
                  <w:smallCaps w:val="false"/>
                  <w:sz w:val="20"/>
                  <w:u w:val="single"/>
                </w:rPr>
                <w:t>II</w:t>
              </w:r>
            </w:hyperlink>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375" w:type="dxa"/>
            <w:tcBorders/>
            <w:vAlign w:val="center"/>
          </w:tcPr>
          <w:p>
            <w:pPr>
              <w:pStyle w:val="TableContents"/>
              <w:bidi w:val="0"/>
              <w:spacing w:before="0" w:after="0"/>
              <w:ind w:left="0" w:right="0" w:hanging="0"/>
              <w:jc w:val="left"/>
              <w:rPr/>
            </w:pPr>
            <w:hyperlink w:anchor="i5">
              <w:r>
                <w:rPr>
                  <w:rStyle w:val="InternetLink"/>
                  <w:rFonts w:ascii="Times New Roman" w:hAnsi="Times New Roman"/>
                  <w:caps w:val="false"/>
                  <w:smallCaps w:val="false"/>
                  <w:sz w:val="20"/>
                  <w:u w:val="single"/>
                </w:rPr>
                <w:t>Market for Our Common Equity, Related Stockholder Matters and Issuer Purchases of Equity Securities</w:t>
              </w:r>
            </w:hyperlink>
          </w:p>
        </w:tc>
        <w:tc>
          <w:tcPr>
            <w:tcW w:w="485" w:type="dxa"/>
            <w:tcBorders/>
            <w:vAlign w:val="center"/>
          </w:tcPr>
          <w:p>
            <w:pPr>
              <w:pStyle w:val="TableContents"/>
              <w:bidi w:val="0"/>
              <w:spacing w:before="0" w:after="283"/>
              <w:jc w:val="right"/>
              <w:rPr/>
            </w:pPr>
            <w:hyperlink w:anchor="i5">
              <w:r>
                <w:rPr>
                  <w:rStyle w:val="InternetLink"/>
                </w:rPr>
                <w:t>17</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375" w:type="dxa"/>
            <w:tcBorders/>
            <w:vAlign w:val="center"/>
          </w:tcPr>
          <w:p>
            <w:pPr>
              <w:pStyle w:val="TableContents"/>
              <w:bidi w:val="0"/>
              <w:spacing w:before="0" w:after="0"/>
              <w:ind w:left="0" w:right="0" w:hanging="0"/>
              <w:jc w:val="left"/>
              <w:rPr/>
            </w:pPr>
            <w:hyperlink w:anchor="i6">
              <w:r>
                <w:rPr>
                  <w:rStyle w:val="InternetLink"/>
                  <w:rFonts w:ascii="Times New Roman" w:hAnsi="Times New Roman"/>
                  <w:caps w:val="false"/>
                  <w:smallCaps w:val="false"/>
                  <w:sz w:val="20"/>
                  <w:u w:val="single"/>
                </w:rPr>
                <w:t>Selected Financial Data</w:t>
              </w:r>
            </w:hyperlink>
          </w:p>
        </w:tc>
        <w:tc>
          <w:tcPr>
            <w:tcW w:w="485" w:type="dxa"/>
            <w:tcBorders/>
            <w:vAlign w:val="center"/>
          </w:tcPr>
          <w:p>
            <w:pPr>
              <w:pStyle w:val="TableContents"/>
              <w:bidi w:val="0"/>
              <w:spacing w:before="0" w:after="283"/>
              <w:jc w:val="right"/>
              <w:rPr/>
            </w:pPr>
            <w:hyperlink w:anchor="i6">
              <w:r>
                <w:rPr>
                  <w:rStyle w:val="InternetLink"/>
                </w:rPr>
                <w:t>17</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w:t>
            </w:r>
          </w:p>
        </w:tc>
        <w:tc>
          <w:tcPr>
            <w:tcW w:w="8375" w:type="dxa"/>
            <w:tcBorders/>
            <w:vAlign w:val="center"/>
          </w:tcPr>
          <w:p>
            <w:pPr>
              <w:pStyle w:val="TableContents"/>
              <w:bidi w:val="0"/>
              <w:spacing w:before="0" w:after="0"/>
              <w:ind w:left="0" w:right="0" w:hanging="0"/>
              <w:jc w:val="left"/>
              <w:rPr/>
            </w:pPr>
            <w:hyperlink w:anchor="i7">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85" w:type="dxa"/>
            <w:tcBorders/>
            <w:vAlign w:val="center"/>
          </w:tcPr>
          <w:p>
            <w:pPr>
              <w:pStyle w:val="TableContents"/>
              <w:bidi w:val="0"/>
              <w:spacing w:before="0" w:after="283"/>
              <w:jc w:val="right"/>
              <w:rPr/>
            </w:pPr>
            <w:hyperlink w:anchor="i7">
              <w:r>
                <w:rPr>
                  <w:rStyle w:val="InternetLink"/>
                </w:rPr>
                <w:t>18</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7A.</w:t>
            </w:r>
          </w:p>
        </w:tc>
        <w:tc>
          <w:tcPr>
            <w:tcW w:w="8375" w:type="dxa"/>
            <w:tcBorders/>
            <w:vAlign w:val="center"/>
          </w:tcPr>
          <w:p>
            <w:pPr>
              <w:pStyle w:val="TableContents"/>
              <w:bidi w:val="0"/>
              <w:spacing w:before="0" w:after="0"/>
              <w:ind w:left="0" w:right="0" w:hanging="0"/>
              <w:jc w:val="left"/>
              <w:rPr/>
            </w:pPr>
            <w:hyperlink w:anchor="i7a">
              <w:r>
                <w:rPr>
                  <w:rStyle w:val="InternetLink"/>
                  <w:rFonts w:ascii="Times New Roman" w:hAnsi="Times New Roman"/>
                  <w:caps w:val="false"/>
                  <w:smallCaps w:val="false"/>
                  <w:sz w:val="20"/>
                  <w:u w:val="single"/>
                </w:rPr>
                <w:t>Quantitative and Qualitative Disclosures About Market Risk</w:t>
              </w:r>
            </w:hyperlink>
          </w:p>
        </w:tc>
        <w:tc>
          <w:tcPr>
            <w:tcW w:w="485" w:type="dxa"/>
            <w:tcBorders/>
            <w:vAlign w:val="center"/>
          </w:tcPr>
          <w:p>
            <w:pPr>
              <w:pStyle w:val="TableContents"/>
              <w:bidi w:val="0"/>
              <w:spacing w:before="0" w:after="283"/>
              <w:jc w:val="right"/>
              <w:rPr/>
            </w:pPr>
            <w:hyperlink w:anchor="i7a">
              <w:r>
                <w:rPr>
                  <w:rStyle w:val="InternetLink"/>
                </w:rPr>
                <w:t>22</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8.</w:t>
            </w:r>
          </w:p>
        </w:tc>
        <w:tc>
          <w:tcPr>
            <w:tcW w:w="8375" w:type="dxa"/>
            <w:tcBorders/>
            <w:vAlign w:val="center"/>
          </w:tcPr>
          <w:p>
            <w:pPr>
              <w:pStyle w:val="TableContents"/>
              <w:bidi w:val="0"/>
              <w:spacing w:before="0" w:after="0"/>
              <w:ind w:left="0" w:right="0" w:hanging="0"/>
              <w:jc w:val="left"/>
              <w:rPr/>
            </w:pPr>
            <w:hyperlink w:anchor="i8">
              <w:r>
                <w:rPr>
                  <w:rStyle w:val="InternetLink"/>
                  <w:rFonts w:ascii="Times New Roman" w:hAnsi="Times New Roman"/>
                  <w:caps w:val="false"/>
                  <w:smallCaps w:val="false"/>
                  <w:sz w:val="20"/>
                  <w:u w:val="single"/>
                </w:rPr>
                <w:t>Financial Statements and Supplementary Data</w:t>
              </w:r>
            </w:hyperlink>
          </w:p>
        </w:tc>
        <w:tc>
          <w:tcPr>
            <w:tcW w:w="485" w:type="dxa"/>
            <w:tcBorders/>
            <w:vAlign w:val="center"/>
          </w:tcPr>
          <w:p>
            <w:pPr>
              <w:pStyle w:val="TableContents"/>
              <w:bidi w:val="0"/>
              <w:spacing w:before="0" w:after="283"/>
              <w:jc w:val="right"/>
              <w:rPr/>
            </w:pPr>
            <w:hyperlink w:anchor="i8">
              <w:r>
                <w:rPr>
                  <w:rStyle w:val="InternetLink"/>
                </w:rPr>
                <w:t>23</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hyperlink w:anchor="rprt">
              <w:r>
                <w:rPr>
                  <w:rStyle w:val="InternetLink"/>
                </w:rPr>
                <w:t>Report of Independent Registered Public Accounting Firm</w:t>
              </w:r>
            </w:hyperlink>
            <w:r>
              <w:rPr/>
              <w:t xml:space="preserve"> (PCAOB ID 200)</w:t>
            </w:r>
          </w:p>
        </w:tc>
        <w:tc>
          <w:tcPr>
            <w:tcW w:w="485" w:type="dxa"/>
            <w:tcBorders/>
            <w:vAlign w:val="center"/>
          </w:tcPr>
          <w:p>
            <w:pPr>
              <w:pStyle w:val="TableContents"/>
              <w:bidi w:val="0"/>
              <w:spacing w:before="0" w:after="283"/>
              <w:jc w:val="right"/>
              <w:rPr/>
            </w:pPr>
            <w:hyperlink w:anchor="rprt">
              <w:r>
                <w:rPr>
                  <w:rStyle w:val="InternetLink"/>
                </w:rPr>
                <w:t>23</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hyperlink w:anchor="cfs">
              <w:r>
                <w:rPr>
                  <w:rStyle w:val="InternetLink"/>
                </w:rPr>
                <w:t>Consolidated Financial Statements</w:t>
              </w:r>
            </w:hyperlink>
          </w:p>
        </w:tc>
        <w:tc>
          <w:tcPr>
            <w:tcW w:w="485" w:type="dxa"/>
            <w:tcBorders/>
            <w:vAlign w:val="center"/>
          </w:tcPr>
          <w:p>
            <w:pPr>
              <w:pStyle w:val="TableContents"/>
              <w:bidi w:val="0"/>
              <w:spacing w:before="0" w:after="283"/>
              <w:jc w:val="right"/>
              <w:rPr/>
            </w:pPr>
            <w:hyperlink w:anchor="cfs">
              <w:r>
                <w:rPr>
                  <w:rStyle w:val="InternetLink"/>
                </w:rPr>
                <w:t>26</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w:t>
            </w:r>
          </w:p>
        </w:tc>
        <w:tc>
          <w:tcPr>
            <w:tcW w:w="8375" w:type="dxa"/>
            <w:tcBorders/>
            <w:vAlign w:val="center"/>
          </w:tcPr>
          <w:p>
            <w:pPr>
              <w:pStyle w:val="TableContents"/>
              <w:bidi w:val="0"/>
              <w:spacing w:before="0" w:after="0"/>
              <w:ind w:left="0" w:right="0" w:hanging="0"/>
              <w:jc w:val="left"/>
              <w:rPr/>
            </w:pPr>
            <w:hyperlink w:anchor="i9">
              <w:r>
                <w:rPr>
                  <w:rStyle w:val="InternetLink"/>
                  <w:rFonts w:ascii="Times New Roman" w:hAnsi="Times New Roman"/>
                  <w:caps w:val="false"/>
                  <w:smallCaps w:val="false"/>
                  <w:sz w:val="20"/>
                  <w:u w:val="single"/>
                </w:rPr>
                <w:t>Changes in and Disagreements with Accountants on Accounting and Financial Disclosure</w:t>
              </w:r>
            </w:hyperlink>
          </w:p>
        </w:tc>
        <w:tc>
          <w:tcPr>
            <w:tcW w:w="485" w:type="dxa"/>
            <w:tcBorders/>
            <w:vAlign w:val="center"/>
          </w:tcPr>
          <w:p>
            <w:pPr>
              <w:pStyle w:val="TableContents"/>
              <w:bidi w:val="0"/>
              <w:spacing w:before="0" w:after="283"/>
              <w:jc w:val="right"/>
              <w:rPr/>
            </w:pPr>
            <w:hyperlink w:anchor="i9">
              <w:r>
                <w:rPr>
                  <w:rStyle w:val="InternetLink"/>
                </w:rPr>
                <w:t>50</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9A.</w:t>
            </w:r>
          </w:p>
        </w:tc>
        <w:tc>
          <w:tcPr>
            <w:tcW w:w="8375" w:type="dxa"/>
            <w:tcBorders/>
            <w:vAlign w:val="center"/>
          </w:tcPr>
          <w:p>
            <w:pPr>
              <w:pStyle w:val="TableContents"/>
              <w:bidi w:val="0"/>
              <w:spacing w:before="0" w:after="0"/>
              <w:ind w:left="0" w:right="0" w:hanging="0"/>
              <w:jc w:val="left"/>
              <w:rPr/>
            </w:pPr>
            <w:hyperlink w:anchor="i9a">
              <w:r>
                <w:rPr>
                  <w:rStyle w:val="InternetLink"/>
                  <w:rFonts w:ascii="Times New Roman" w:hAnsi="Times New Roman"/>
                  <w:caps w:val="false"/>
                  <w:smallCaps w:val="false"/>
                  <w:sz w:val="20"/>
                  <w:u w:val="single"/>
                </w:rPr>
                <w:t>Controls and Procedures</w:t>
              </w:r>
            </w:hyperlink>
          </w:p>
        </w:tc>
        <w:tc>
          <w:tcPr>
            <w:tcW w:w="485" w:type="dxa"/>
            <w:tcBorders/>
            <w:vAlign w:val="center"/>
          </w:tcPr>
          <w:p>
            <w:pPr>
              <w:pStyle w:val="TableContents"/>
              <w:bidi w:val="0"/>
              <w:spacing w:before="0" w:after="283"/>
              <w:jc w:val="right"/>
              <w:rPr/>
            </w:pPr>
            <w:hyperlink w:anchor="i9a">
              <w:r>
                <w:rPr>
                  <w:rStyle w:val="InternetLink"/>
                </w:rPr>
                <w:t>50</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9B.</w:t>
            </w:r>
          </w:p>
        </w:tc>
        <w:tc>
          <w:tcPr>
            <w:tcW w:w="8375" w:type="dxa"/>
            <w:tcBorders/>
            <w:vAlign w:val="center"/>
          </w:tcPr>
          <w:p>
            <w:pPr>
              <w:pStyle w:val="TableContents"/>
              <w:bidi w:val="0"/>
              <w:spacing w:before="0" w:after="0"/>
              <w:ind w:left="0" w:right="0" w:hanging="0"/>
              <w:jc w:val="left"/>
              <w:rPr/>
            </w:pPr>
            <w:hyperlink w:anchor="i9b">
              <w:r>
                <w:rPr>
                  <w:rStyle w:val="InternetLink"/>
                  <w:rFonts w:ascii="Times New Roman" w:hAnsi="Times New Roman"/>
                  <w:caps w:val="false"/>
                  <w:smallCaps w:val="false"/>
                  <w:sz w:val="20"/>
                  <w:u w:val="single"/>
                </w:rPr>
                <w:t>Other Information</w:t>
              </w:r>
            </w:hyperlink>
          </w:p>
        </w:tc>
        <w:tc>
          <w:tcPr>
            <w:tcW w:w="485" w:type="dxa"/>
            <w:tcBorders/>
            <w:vAlign w:val="center"/>
          </w:tcPr>
          <w:p>
            <w:pPr>
              <w:pStyle w:val="TableContents"/>
              <w:bidi w:val="0"/>
              <w:spacing w:before="0" w:after="283"/>
              <w:jc w:val="right"/>
              <w:rPr/>
            </w:pPr>
            <w:hyperlink w:anchor="i9b">
              <w:r>
                <w:rPr>
                  <w:rStyle w:val="InternetLink"/>
                </w:rPr>
                <w:t>51</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pPr>
            <w:hyperlink w:anchor="p3">
              <w:r>
                <w:rPr>
                  <w:rStyle w:val="InternetLink"/>
                  <w:rFonts w:ascii="Times New Roman" w:hAnsi="Times New Roman"/>
                  <w:b/>
                  <w:caps w:val="false"/>
                  <w:smallCaps w:val="false"/>
                  <w:sz w:val="20"/>
                  <w:u w:val="single"/>
                </w:rPr>
                <w:t>PART</w:t>
              </w:r>
            </w:hyperlink>
            <w:hyperlink w:anchor="p3">
              <w:r>
                <w:rPr>
                  <w:rStyle w:val="InternetLink"/>
                  <w:rFonts w:ascii="Times New Roman" w:hAnsi="Times New Roman"/>
                  <w:caps w:val="false"/>
                  <w:smallCaps w:val="false"/>
                  <w:sz w:val="20"/>
                  <w:u w:val="single"/>
                </w:rPr>
                <w:t> </w:t>
              </w:r>
            </w:hyperlink>
            <w:hyperlink w:anchor="p3">
              <w:r>
                <w:rPr>
                  <w:rStyle w:val="InternetLink"/>
                  <w:rFonts w:ascii="Times New Roman" w:hAnsi="Times New Roman"/>
                  <w:b/>
                  <w:caps w:val="false"/>
                  <w:smallCaps w:val="false"/>
                  <w:sz w:val="20"/>
                  <w:u w:val="single"/>
                </w:rPr>
                <w:t>III</w:t>
              </w:r>
            </w:hyperlink>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10.</w:t>
            </w:r>
          </w:p>
        </w:tc>
        <w:tc>
          <w:tcPr>
            <w:tcW w:w="8375" w:type="dxa"/>
            <w:tcBorders/>
            <w:vAlign w:val="center"/>
          </w:tcPr>
          <w:p>
            <w:pPr>
              <w:pStyle w:val="TableContents"/>
              <w:bidi w:val="0"/>
              <w:spacing w:before="0" w:after="0"/>
              <w:ind w:left="0" w:right="0" w:hanging="0"/>
              <w:jc w:val="left"/>
              <w:rPr/>
            </w:pPr>
            <w:hyperlink w:anchor="p3">
              <w:r>
                <w:rPr>
                  <w:rStyle w:val="InternetLink"/>
                  <w:rFonts w:ascii="Times New Roman" w:hAnsi="Times New Roman"/>
                  <w:caps w:val="false"/>
                  <w:smallCaps w:val="false"/>
                  <w:sz w:val="20"/>
                  <w:u w:val="single"/>
                </w:rPr>
                <w:t>Directors, Executive Officers and Corporate Governance</w:t>
              </w:r>
            </w:hyperlink>
          </w:p>
        </w:tc>
        <w:tc>
          <w:tcPr>
            <w:tcW w:w="485" w:type="dxa"/>
            <w:tcBorders/>
            <w:vAlign w:val="center"/>
          </w:tcPr>
          <w:p>
            <w:pPr>
              <w:pStyle w:val="TableContents"/>
              <w:bidi w:val="0"/>
              <w:spacing w:before="0" w:after="283"/>
              <w:jc w:val="right"/>
              <w:rPr/>
            </w:pPr>
            <w:hyperlink w:anchor="p3">
              <w:r>
                <w:rPr>
                  <w:rStyle w:val="InternetLink"/>
                </w:rPr>
                <w:t>51</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11.</w:t>
            </w:r>
          </w:p>
        </w:tc>
        <w:tc>
          <w:tcPr>
            <w:tcW w:w="8375" w:type="dxa"/>
            <w:tcBorders/>
            <w:vAlign w:val="center"/>
          </w:tcPr>
          <w:p>
            <w:pPr>
              <w:pStyle w:val="TableContents"/>
              <w:bidi w:val="0"/>
              <w:spacing w:before="0" w:after="0"/>
              <w:ind w:left="0" w:right="0" w:hanging="0"/>
              <w:jc w:val="left"/>
              <w:rPr/>
            </w:pPr>
            <w:hyperlink w:anchor="p3">
              <w:r>
                <w:rPr>
                  <w:rStyle w:val="InternetLink"/>
                  <w:rFonts w:ascii="Times New Roman" w:hAnsi="Times New Roman"/>
                  <w:caps w:val="false"/>
                  <w:smallCaps w:val="false"/>
                  <w:sz w:val="20"/>
                  <w:u w:val="single"/>
                </w:rPr>
                <w:t>Executive Compensation</w:t>
              </w:r>
            </w:hyperlink>
          </w:p>
        </w:tc>
        <w:tc>
          <w:tcPr>
            <w:tcW w:w="485" w:type="dxa"/>
            <w:tcBorders/>
            <w:vAlign w:val="center"/>
          </w:tcPr>
          <w:p>
            <w:pPr>
              <w:pStyle w:val="TableContents"/>
              <w:bidi w:val="0"/>
              <w:spacing w:before="0" w:after="283"/>
              <w:jc w:val="right"/>
              <w:rPr/>
            </w:pPr>
            <w:hyperlink w:anchor="p3">
              <w:r>
                <w:rPr>
                  <w:rStyle w:val="InternetLink"/>
                </w:rPr>
                <w:t>51</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12.</w:t>
            </w:r>
          </w:p>
        </w:tc>
        <w:tc>
          <w:tcPr>
            <w:tcW w:w="8375" w:type="dxa"/>
            <w:tcBorders/>
            <w:vAlign w:val="center"/>
          </w:tcPr>
          <w:p>
            <w:pPr>
              <w:pStyle w:val="TableContents"/>
              <w:bidi w:val="0"/>
              <w:spacing w:before="0" w:after="0"/>
              <w:ind w:left="0" w:right="0" w:hanging="0"/>
              <w:jc w:val="left"/>
              <w:rPr/>
            </w:pPr>
            <w:hyperlink w:anchor="p3">
              <w:r>
                <w:rPr>
                  <w:rStyle w:val="InternetLink"/>
                  <w:rFonts w:ascii="Times New Roman" w:hAnsi="Times New Roman"/>
                  <w:caps w:val="false"/>
                  <w:smallCaps w:val="false"/>
                  <w:sz w:val="20"/>
                  <w:u w:val="single"/>
                </w:rPr>
                <w:t>Security Ownership of Certain Beneficial Owners and Management and Related Stockholder Matters</w:t>
              </w:r>
            </w:hyperlink>
          </w:p>
        </w:tc>
        <w:tc>
          <w:tcPr>
            <w:tcW w:w="485" w:type="dxa"/>
            <w:tcBorders/>
            <w:vAlign w:val="center"/>
          </w:tcPr>
          <w:p>
            <w:pPr>
              <w:pStyle w:val="TableContents"/>
              <w:bidi w:val="0"/>
              <w:spacing w:before="0" w:after="283"/>
              <w:jc w:val="right"/>
              <w:rPr/>
            </w:pPr>
            <w:hyperlink w:anchor="p3">
              <w:r>
                <w:rPr>
                  <w:rStyle w:val="InternetLink"/>
                </w:rPr>
                <w:t>51</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13.</w:t>
            </w:r>
          </w:p>
        </w:tc>
        <w:tc>
          <w:tcPr>
            <w:tcW w:w="8375" w:type="dxa"/>
            <w:tcBorders/>
            <w:vAlign w:val="center"/>
          </w:tcPr>
          <w:p>
            <w:pPr>
              <w:pStyle w:val="TableContents"/>
              <w:bidi w:val="0"/>
              <w:spacing w:before="0" w:after="0"/>
              <w:ind w:left="0" w:right="0" w:hanging="0"/>
              <w:jc w:val="left"/>
              <w:rPr/>
            </w:pPr>
            <w:hyperlink w:anchor="p3">
              <w:r>
                <w:rPr>
                  <w:rStyle w:val="InternetLink"/>
                  <w:rFonts w:ascii="Times New Roman" w:hAnsi="Times New Roman"/>
                  <w:caps w:val="false"/>
                  <w:smallCaps w:val="false"/>
                  <w:sz w:val="20"/>
                  <w:u w:val="single"/>
                </w:rPr>
                <w:t>Certain Relationships and Related Transactions, and Director Independence</w:t>
              </w:r>
            </w:hyperlink>
          </w:p>
        </w:tc>
        <w:tc>
          <w:tcPr>
            <w:tcW w:w="485" w:type="dxa"/>
            <w:tcBorders/>
            <w:vAlign w:val="center"/>
          </w:tcPr>
          <w:p>
            <w:pPr>
              <w:pStyle w:val="TableContents"/>
              <w:bidi w:val="0"/>
              <w:spacing w:before="0" w:after="283"/>
              <w:jc w:val="right"/>
              <w:rPr/>
            </w:pPr>
            <w:hyperlink w:anchor="p3">
              <w:r>
                <w:rPr>
                  <w:rStyle w:val="InternetLink"/>
                </w:rPr>
                <w:t>51</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14.</w:t>
            </w:r>
          </w:p>
        </w:tc>
        <w:tc>
          <w:tcPr>
            <w:tcW w:w="8375" w:type="dxa"/>
            <w:tcBorders/>
            <w:vAlign w:val="center"/>
          </w:tcPr>
          <w:p>
            <w:pPr>
              <w:pStyle w:val="TableContents"/>
              <w:bidi w:val="0"/>
              <w:spacing w:before="0" w:after="0"/>
              <w:ind w:left="0" w:right="0" w:hanging="0"/>
              <w:jc w:val="left"/>
              <w:rPr/>
            </w:pPr>
            <w:hyperlink w:anchor="p3">
              <w:r>
                <w:rPr>
                  <w:rStyle w:val="InternetLink"/>
                  <w:rFonts w:ascii="Times New Roman" w:hAnsi="Times New Roman"/>
                  <w:caps w:val="false"/>
                  <w:smallCaps w:val="false"/>
                  <w:sz w:val="20"/>
                  <w:u w:val="single"/>
                </w:rPr>
                <w:t>Principal Accountant Fees and Services</w:t>
              </w:r>
            </w:hyperlink>
          </w:p>
        </w:tc>
        <w:tc>
          <w:tcPr>
            <w:tcW w:w="485" w:type="dxa"/>
            <w:tcBorders/>
            <w:vAlign w:val="center"/>
          </w:tcPr>
          <w:p>
            <w:pPr>
              <w:pStyle w:val="TableContents"/>
              <w:bidi w:val="0"/>
              <w:spacing w:before="0" w:after="283"/>
              <w:jc w:val="right"/>
              <w:rPr/>
            </w:pPr>
            <w:hyperlink w:anchor="p3">
              <w:r>
                <w:rPr>
                  <w:rStyle w:val="InternetLink"/>
                </w:rPr>
                <w:t>51</w:t>
              </w:r>
            </w:hyperlink>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pPr>
            <w:hyperlink w:anchor="p4">
              <w:r>
                <w:rPr>
                  <w:rStyle w:val="InternetLink"/>
                  <w:rFonts w:ascii="Times New Roman" w:hAnsi="Times New Roman"/>
                  <w:b/>
                  <w:caps w:val="false"/>
                  <w:smallCaps w:val="false"/>
                  <w:sz w:val="20"/>
                  <w:u w:val="single"/>
                </w:rPr>
                <w:t>PART IV</w:t>
              </w:r>
            </w:hyperlink>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15.</w:t>
            </w:r>
          </w:p>
        </w:tc>
        <w:tc>
          <w:tcPr>
            <w:tcW w:w="8375" w:type="dxa"/>
            <w:tcBorders/>
            <w:vAlign w:val="center"/>
          </w:tcPr>
          <w:p>
            <w:pPr>
              <w:pStyle w:val="TableContents"/>
              <w:bidi w:val="0"/>
              <w:spacing w:before="0" w:after="0"/>
              <w:ind w:left="0" w:right="0" w:hanging="0"/>
              <w:jc w:val="left"/>
              <w:rPr/>
            </w:pPr>
            <w:hyperlink w:anchor="i15">
              <w:r>
                <w:rPr>
                  <w:rStyle w:val="InternetLink"/>
                  <w:rFonts w:ascii="Times New Roman" w:hAnsi="Times New Roman"/>
                  <w:caps w:val="false"/>
                  <w:smallCaps w:val="false"/>
                  <w:sz w:val="20"/>
                  <w:u w:val="single"/>
                </w:rPr>
                <w:t>Exhibits and Financial Statement Schedules</w:t>
              </w:r>
            </w:hyperlink>
          </w:p>
        </w:tc>
        <w:tc>
          <w:tcPr>
            <w:tcW w:w="485" w:type="dxa"/>
            <w:tcBorders/>
            <w:vAlign w:val="center"/>
          </w:tcPr>
          <w:p>
            <w:pPr>
              <w:pStyle w:val="TableContents"/>
              <w:bidi w:val="0"/>
              <w:spacing w:before="0" w:after="283"/>
              <w:jc w:val="right"/>
              <w:rPr/>
            </w:pPr>
            <w:hyperlink w:anchor="i15">
              <w:r>
                <w:rPr>
                  <w:rStyle w:val="InternetLink"/>
                </w:rPr>
                <w:t>51</w:t>
              </w:r>
            </w:hyperlink>
          </w:p>
        </w:tc>
      </w:tr>
      <w:tr>
        <w:trPr/>
        <w:tc>
          <w:tcPr>
            <w:tcW w:w="9220" w:type="dxa"/>
            <w:gridSpan w:val="2"/>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9220" w:type="dxa"/>
            <w:gridSpan w:val="2"/>
            <w:tcBorders/>
            <w:vAlign w:val="center"/>
          </w:tcPr>
          <w:p>
            <w:pPr>
              <w:pStyle w:val="TableContents"/>
              <w:bidi w:val="0"/>
              <w:spacing w:before="0" w:after="0"/>
              <w:ind w:left="0" w:right="0" w:hanging="0"/>
              <w:jc w:val="left"/>
              <w:rPr/>
            </w:pPr>
            <w:hyperlink w:anchor="sig">
              <w:r>
                <w:rPr>
                  <w:rStyle w:val="InternetLink"/>
                  <w:rFonts w:ascii="Times New Roman" w:hAnsi="Times New Roman"/>
                  <w:b/>
                  <w:caps w:val="false"/>
                  <w:smallCaps w:val="false"/>
                  <w:sz w:val="20"/>
                  <w:u w:val="single"/>
                </w:rPr>
                <w:t xml:space="preserve">SIGNATURES </w:t>
              </w:r>
            </w:hyperlink>
          </w:p>
        </w:tc>
        <w:tc>
          <w:tcPr>
            <w:tcW w:w="485" w:type="dxa"/>
            <w:tcBorders/>
            <w:vAlign w:val="center"/>
          </w:tcPr>
          <w:p>
            <w:pPr>
              <w:pStyle w:val="TableContents"/>
              <w:bidi w:val="0"/>
              <w:spacing w:before="0" w:after="283"/>
              <w:jc w:val="right"/>
              <w:rPr/>
            </w:pPr>
            <w:hyperlink w:anchor="sig">
              <w:r>
                <w:rPr>
                  <w:rStyle w:val="InternetLink"/>
                </w:rPr>
                <w:t>54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(i)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note"/>
      <w:bookmarkEnd w:id="3"/>
      <w:r>
        <w:rPr>
          <w:rFonts w:ascii="Times New Roman" w:hAnsi="Times New Roman"/>
          <w:b/>
          <w:caps w:val="false"/>
          <w:smallCaps w:val="false"/>
          <w:sz w:val="20"/>
        </w:rPr>
        <w:t xml:space="preserve">SPECIAL NOTE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in this report, including information incorporated by reference, are “forward-looking statements” within the meaning of Section 27A of the Securities Act of 1933, Section 21E of the Securities Exchange Act of 1934, and the Private Securities Litigation Reform Act of 1995. Forward-looking statements reflect current views about future events and financial performance based on certain assumptions. They include opinions, forecasts, intentions, plans, goals, projections, guidance, expectations, beliefs, or other statements that are not statements of historical fact. Words such as “may,” “will,” “should,” “could,” “would,” “expect,” “plan,” “believe,” “anticipate,” “intend,” “estimate,” “approximate,” “predict,” “forecast,” “project,”, “future”, or “likely”, or the negative or other variation of such words, and similar expressions may identify a statement as a forward-looking statement. Any statements that refer to projections of our future financial performance, our anticipated growth and trends in our business, our goals, strategies, focus and plans, and other characterizations of future events or circumstances, including statements expressing general optimism or pessimism about future operating results, are forward-looking statements. Forward-looking statements in this report may include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9915"/>
        <w:gridCol w:w="60"/>
        <w:gridCol w:w="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develop market acceptance for and increase sales of new products, develop relationships with new customers and maintain or improve existing customer relationships;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financial and operating results, including projections of net sales, revenue, income or loss, net income or loss per share, profit margins, expenditures, liquidity, and other financial items;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283"/>
              <w:jc w:val="left"/>
              <w:rPr>
                <w:sz w:val="20"/>
              </w:rPr>
            </w:pPr>
            <w:r>
              <w:rPr>
                <w:sz w:val="20"/>
              </w:rPr>
              <w:t>the sufficiency of our available cash, cash equivalents and restricted cash, including continued access to borrowings under our credit facilities, and potential cash flows from our operations to fund our working capital and capital expenditure needs through the next 12 months and longer;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left"/>
              <w:rPr>
                <w:sz w:val="20"/>
              </w:rPr>
            </w:pPr>
            <w:r>
              <w:rPr>
                <w:sz w:val="20"/>
              </w:rPr>
              <w:t>our ability to maintain compliance with the covenants contained in our credit agreements with our lenders and in the event of non-compliance, our ability to obtain amendments, waivers, or modifications from our lenders on acceptable terms, or at all;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left"/>
              <w:rPr>
                <w:sz w:val="20"/>
              </w:rPr>
            </w:pPr>
            <w:r>
              <w:rPr>
                <w:sz w:val="20"/>
              </w:rPr>
              <w:t>our ability to continue as a going concern as described in our financial statement footnotes and generate sufficient liquidity to satisfy our obligations as they become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left"/>
              <w:rPr>
                <w:sz w:val="20"/>
              </w:rPr>
            </w:pPr>
            <w:r>
              <w:rPr>
                <w:sz w:val="20"/>
              </w:rPr>
              <w:t>impairment of our long-lived assets and the ability of our operations to recover the full carrying value or our ability to accurately estimate the future recoverability of long-lived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exchange rates and their effect on our results of operations (including amounts that we may reclassify as earnings), the availability of foreign exchange facilities, our ability to effectively hedge against foreign exchange risks and the extent to which we may seek to hedge against such risks;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levels, including the adequacy of quality raw material and other inventory levels to meet future customer demand;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sources, availability and quality of raw materials, including the limited number of suppliers of beta-alanine meeting our quality requirements;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283"/>
              <w:jc w:val="left"/>
              <w:rPr>
                <w:sz w:val="20"/>
              </w:rPr>
            </w:pPr>
            <w:r>
              <w:rPr>
                <w:sz w:val="20"/>
              </w:rPr>
              <w:t>our ability to price our products to achieve profit margin targets, especially in the current volatile raw material environment and potential for new tariffs;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maintain or increase our patent and trademark licensing 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improve operating efficiencies, manage costs and business risks, and improve or maintain profitability;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protect our intellectual property;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economic and political conditions;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outcome of litigation, regulatory and tax matters we are or may become involved in, the costs associated with such matters and the effect of such matters on our business and results of 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manufacturing and distribution channels, product returns, and potential product recalls;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impact of external factors on our business and results of operations, especially, for example, variations in quarterly net sales from seasonal and other external factors;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operate within the standards set by the U.S. Food and Drug Administration’s (FDA) Good Manufacturing Practices (GMPs);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adequacy of our financial reserves and allowances;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impact of accounting pronouncements and our adoption of certain accounting guidance;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assumptions described in this report underlying or relating to any forward-looking statements.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forward-looking statements in this report speak only as of the date of this report based on information available to us at that time and caution should be taken not to place undue reliance on any such forward-looking statements. Forward-looking statements are subject to certain future events, risks, and uncertainties that are or may be outside of our control. When considering forward-looking statements, you should carefully review the risks, uncertainties and other cautionary statements in this Report as they identify certain important factors that could cause actual results to differ materially from those expressed in, or implied by, the forward-looking statements. These factors include, among others, the risks described under Item 1A of Part I and elsewhere in this report, as well as in other reports and documents we have filed and will file with the United States Securities and Exchange Commission (SEC).</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p1"/>
      <w:bookmarkEnd w:id="4"/>
      <w:r>
        <w:rPr>
          <w:rFonts w:ascii="Times New Roman" w:hAnsi="Times New Roman"/>
          <w:b/>
          <w:caps w:val="false"/>
          <w:smallCaps w:val="false"/>
          <w:sz w:val="20"/>
        </w:rPr>
        <w:t xml:space="preserve">PART I </w:t>
      </w:r>
    </w:p>
    <w:p>
      <w:pPr>
        <w:pStyle w:val="TextBody"/>
        <w:bidi w:val="0"/>
        <w:spacing w:before="0" w:after="0"/>
        <w:ind w:left="0" w:right="0" w:hanging="0"/>
        <w:jc w:val="left"/>
        <w:rPr>
          <w:rFonts w:ascii="Times New Roman" w:hAnsi="Times New Roman"/>
          <w:caps w:val="false"/>
          <w:smallCaps w:val="false"/>
          <w:sz w:val="20"/>
        </w:rPr>
      </w:pPr>
      <w:bookmarkStart w:id="5" w:name="i1"/>
      <w:bookmarkEnd w:id="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vision is to enrich the world through the best of nutrition.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leading formulator, manufacturer and marketer of nutritional supplements. Our comprehensive strategic partnerships with our customers allow us to offer a wide range of innovative nutritional products and services to such customers including scientific research, clinical studies, proprietary ingredients, customer-specific nutritional product formulation, product testing and evaluation, marketing management and support, packaging and delivery system design, regulatory review, and international product registration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our primary business activity, we provide private-label contract manufacturing services to companies that market and distribute vitamins, minerals, herbal and other nutritional supplements, as well as other health care products, to consumers both within and outside the U.S. We also own a patent estate related to the raw material ingredient known as beta-alanine, which is primarily commercialized through the direct sale of this raw material and supply agreements with third parties for the distribution and use of this raw material under our CarnoSyn®, SR CarnoSyn®, CarnoSyn® 4X and TriBsyn® trademarks. We previously sold a branded version of our SR CarnoSyn® Wellness tablet product under a brand we created called SustainedRx® and a product named Perfect Synergy®. This product was sold directly to consumers through Amazon and our own direct to consumer website. This brand was discontinued during fiscal 2025 as it was not commercially successful. We also sell SR CarnoSyn® tablet products and TriBsyn® capsule products that are offered as business-to-business private label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Originally founded in 1980, Natural Alternatives International, Inc. (NAI) reorganized as a Delaware corporation in 1989. Our principal executive offices are located at 1535 Faraday Ave, Carlsbad, CA 92008. Our primary U.S. manufacturing facility is located approximately three miles away in Vista, California. We also have another manufacturing and warehousing facility located approximately one mile away from our executive offices in Carlsbad,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January 1999, we formed our wholly owned subsidiary Natural Alternatives International Europe S.A. (NAIE), a Swiss corporation based in Manno, Switzerland. In September 1999, NAIE opened its manufacturing facility in Manno, Switzerland, which has grown over the ensuing years and currently possesses manufacturing capabilities in encapsulation, powders, tablets, finished goods packaging, quality control, laboratory testing, warehousing, distribution and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1997, we licensed certain patent rights related to instant-release beta-alanine and have since expanded this patent estate by applying for and obtaining patents to include sustained-release beta-alanine. We sell these products under our trademarks CarnoSyn® and SR CarnoSyn®. As part of our business strategy, we have sought to commercialize our CarnoSyn® patent estate through contract manufacturing, royalty and license agreements, and further expansion of our patent estate. We recently expanded our licensed product offerings with patent applications associated with a new form of CarnoSyn® beta-alanine trademarked as CarnoSyn® 4X and TriBsyn®. We directly sell CarnoSyn®, SR CarnoSyn®, CarnoSyn® 4X, and TriBsyn® and license our related patent and trademark rights to others for use in or with their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the context requires otherwise, all references in this report to the “Company,” “NAI,” “we,” “our,” and “us” refer to Natural Alternatives International, Inc. and, as applicable NAIE.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Overview of our Facilities and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U.S.-based manufacturing operations are located in Vista and Carlsbad, California and include manufacturing and distribution, sales and marketing, in-house formulation, laboratory services, and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Vista, California manufacturing facilities maintain third-party certifications supporting the manufacture of dietary supplements and nutritional products for domestic and international markets. The facilities have maintained annual Good Manufacturing Practices (GMP) registration through the NSF Dietary Supplements Certification Program since 2002 and have been certified under the NSF Certified for Sport® program since 2009, enabling the manufacture of products bearing the NSF Certified for Sport® mark. The facilities are also recognized by Health Canada as compliant with the Good Manufacturing Practices requirements of the Canadian Natural Health Products Regulations, supporting customers who market products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Vista, California facilities are certified as an Organic Processor and Handler by Natural Food Certifiers (NFC) under the USDA National Organic Program, allowing the manufacture and packaging of certified organic products. These facilities are also registered with the California Department of Public Health as an organic processor and maintain certifications to manufacture Kosher and Halal products. These certifications are maintained through periodic inspections and renewals.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April 2021, NAI became the first company to achieve certification under the Supplement Safety &amp; Compliance Initiative (SSCI), an industry benchmarking program focused on supply chain safety, traceability, and quality management. NAI's SSCI certification was most recently renewed in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August 2021, NAI acquired a manufacturing and warehouse facility in Carlsbad, California, which was retrofitted as a dedicated high-volume powder blending and packaging facility and commenced full operations in April 2023. The Carlsbad facility is certified under the NSF Dietary Supplements Certification Program, the NSF Certified for Sport® program, the SSCI program, the NFC Organic program, and maintains certifications to manufacture Kosher and Halal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NAIE operates a manufacturing, packaging, warehousing, distribution, and analytical laboratory facility in Manno, Switzerland. The facility is licensed and periodically inspected by the Swissmedic Authority of Bern, Switzerland and operates in compliance with applicable pharmaceutical Good Manufacturing Practice (GMP) requirements. NAIE manufactures and packages food supplements and nutritional products under these quality standards. Swissmedic conducts periodic inspections to verify continued compliance, with the most recent inspection completed in September 2025. The facility also maintains FSSC 22000 certification, demonstrating compliance with internationally recognized food safety management system requirements. The certification was most recently renewed in April 2026. We believe these licenses, certifications, and manufacturing capabilities strengthen our relationships with existing customers and support opportunities to develop new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Business Strategy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goals are to achieve long-term growth and profitability and to diversify our sales base. To accomplish these goals, we have sought, and intend to continue to seek, to do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sz w:val="20"/>
              </w:rPr>
            </w:pPr>
            <w:r>
              <w:rPr>
                <w:sz w:val="20"/>
              </w:rPr>
              <w:t>Leveraging our state-of-the-art, certified facilities to increase the value of the goods and services we provide to our highly valued private-label contract manufacturing customers, and developing relationships with additional quality-oriented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sz w:val="20"/>
              </w:rPr>
            </w:pPr>
            <w:r>
              <w:rPr>
                <w:sz w:val="20"/>
              </w:rPr>
              <w:t>Expanding the commercialization of our beta-alanine patent and trademark estate in Sports Nutrition, Wellness and Healthy Aging and Medical food channels with our CarnoSyn®, SR CarnoSyn®, CarnoSyn® 4X, and TriBsyn® beta-alanine product lines; exploiting new contract manufacturing opportunities, license and royalty agreements, and protecting our proprietary rights;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sz w:val="20"/>
              </w:rPr>
            </w:pPr>
            <w:r>
              <w:rPr>
                <w:sz w:val="20"/>
              </w:rPr>
              <w:t>Consolidating our facilities and factories to improve operational efficiencies and manage costs and business risks to improve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Overall, we believe there is an opportunity to enhance consumer confidence in the quality of our customers' nutritional supplements and their adherence to label claims through education provided by direct sales and direct-to-consumer marketing programs. We believe our GMP certified manufacturing operations, science-based product formulations, peer-reviewed clinical studies and regulatory expertise collectively provide us with a sustainable competitive advantage and provide our customers with a high degree of confidence in the products we manufacture.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today’s consumer may have access to a variety of information, we believe many consumers remain uneducated about nutrition and nutritional supplementation, uncertain about the relevance or reliability of the information available to them, or confused about conflicting claims or information. We believe this state of the market creates a significant opportunity for the direct sales marketing channel. The direct sales marketing channel has proved, and we believe will continue to prove, to be a highly effective method for marketing high-quality nutritional supplements because it allows associates or other individuals to educate consumers on the benefits of science-based nutritional supplements. Some of our largest customers operate in the direct sales marketing channel. Thus, a significant portion of our business relies on the effectiveness of our customers in this marketing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believe there is significant opportunity with the commercialization of our patent estate through the introduction of our existing patented ingredients into additional markets and the introduction of new beta-alanine product offerings. Currently, the majority of our CarnoSyn® sales are to companies operating in the Sports Nutrition market, where products are primarily formulated with the instant-release form of beta-alanine. We believe several additional markets and distribution channels represent significant growth opportunities for our SR CarnoSyn®, CarnoSyn® 4X, and TriBsyn® product offerings. We believe SR CarnoSyn® provides a superior delivery system for CarnoSyn® beta-alanine due to its sustained-release profile, which supports higher daily dosing and improved muscle carnosine retention. However, this product is currently limited to solid-dose tablet formulations, reducing the potential for customization by our target customers. With the introduction of CarnoSyn® 4X and TriBsyn®, along with their patent-pending formulations, we believe we are well positioned to expand our presence in the Wellness and Healthy Aging markets. This groundbreaking product is a carnosine booster that utilizes CarnoSyn® beta-alanine and proprietary technology to enhance beta-alanine bioavailability and absorption while effectively eliminating beta-alanine related paresthesia. Available as a raw material powder, it offers formulation flexibility for our customers. By eliminating paresthesia while maintaining an efficacious dosage, this product creates new opportunities to reach previously untapped market segments, including older adults, vegetarians, and vegans. It is well suited for a wide range of applications, including ready-to-drink beverages, protein drinks, dairy-based products, gummies, and medical nutrition products. We are also developing several additional innovations that could result in new patentable products for the CarnoSyn® Brands portfolio. Our patents covering instant-release beta-alanine expired in July 2026. However, our patents for SR CarnoSyn® extend through 2036, and we have patent applications pending for our TriBsyn® and CarnoSyn® 4X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our comprehensive approach to customer service is unique within our industry. We believe this comprehensive approach, together with our commitment to high quality, product development and manufacturing capabilities, will provide the means to implement our strategies and achieve our goals. There can be no assurance, however, that we will successfully implement any of our business strategies or that we will increase or diversify our sales, successfully commercialize our patent estate, or improve our overall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Products, Principal Markets and Methods of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business activity is to provide private-label contract manufacturing services to companies that market and distribute vitamins, minerals, herbs, and other nutritional supplements, as well as other health care products, to consumers both within and outside the U.S. Our private-label contract manufacturing customers include companies that market nutritional supplements through direct sales marketing channels, direct to consumer ecommerce channels, and retail stores. We manufacture products in a variety of forms, including capsules, tablets, chewable wafers, and powders to accommodate a variety of our customers'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provide strategic partnering services to our private-label contract manufacturing customers that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60"/>
        <w:gridCol w:w="110"/>
        <w:gridCol w:w="41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customized product formulation;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study design and support;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support;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 regulatory and label law compliance;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 product registration;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packaging in multiple formats and labeling design.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seek to commercialize our patent and trademarks through the direct distribution and sale of CarnoSyn®, SR CarnoSyn®, CarnoSyn® 4X, TriBsyn®, new contract manufacturing opportunities, and various license, royalty, and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last two fiscal years ended June 30, our net sales were derived from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3065"/>
        <w:gridCol w:w="60"/>
        <w:gridCol w:w="125"/>
        <w:gridCol w:w="695"/>
        <w:gridCol w:w="60"/>
        <w:gridCol w:w="60"/>
        <w:gridCol w:w="60"/>
        <w:gridCol w:w="335"/>
        <w:gridCol w:w="60"/>
        <w:gridCol w:w="60"/>
        <w:gridCol w:w="125"/>
        <w:gridCol w:w="695"/>
        <w:gridCol w:w="60"/>
        <w:gridCol w:w="60"/>
        <w:gridCol w:w="60"/>
        <w:gridCol w:w="335"/>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Private-label Contract Manufacturing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Patent and Trademark Licensing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Research and Development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committed to quality research and development. We focus on the development of new science-based products and the improvement of existing products. We periodically test and validate products we manufacture to help ensure their stability, potency, efficacy and safety. We maintain quality control procedures to verify that products we manufacture comply with applicable specifications and standards established by the FDA and other regulatory agencies. We also both direct and participate in clinical research studies, often in collaboration with scientists and research institutions, to validate the benefits of an ingredient or a product and provide scientific support for product claims and marketing initiatives. We believe our commitment to research and development, as well as to our facilities and strategic alliances with our suppliers and customers, allow us to effectively identify, develop and market high-quality and innovative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part of the services we provide to our private-label contract manufacturing customers, we may perform certain research and development activities related to the development or improvement of their products. Our customers are usually charged for our services but are often reimbursed for these costs if their products are ultimately commercialized and manufactured by NAI. Research and development costs, including costs associated with international regulatory compliance services we provide to our customers,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research and development expenses for the fiscal year ended June 30, 2026 were $2.3 million, compared to $1.8 million for the fiscal year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Sources and Availability of Raw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use many raw materials in our operations including powders, excipients, empty capsules, and components for packaging and distributing our finished products. In addition, the commercialization of our beta-alanine patents and trademarks depends on the availability of the raw material beta-alanine. We conduct identity testing for all raw materials we purchase and, on a predetermined testing protocol basis, we evaluate raw materials to ensure their quality, purity and potency before we use them in our or our customers’ products. We typically buy raw materials in bulk from qualified vendors located both within and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Like many companies and industries, we experienced challenges within our supply chain as a result of the effects of the COVID-19 pandemic. In particular, we encountered difficulties related to the supply of raw materials and packaging components. These challenges were driven by, but were not limited to, increased demand for certain ingredients with a limited supply, our supplier’s inability to meet demand due to capacity constraints, and increased lead times associated with constrained transportation availability. While these impacts have lessened over the past couple of years, there continues to be significant pricing pressures and supply chain challenges associated with various raw materials and packaging components, and we continue to manage these circumstances by working closely with our customers and suppliers. Additionally, uncertainty remains high related in part to existing and potentially increased tariffs. Throughout fiscal 2027, we expect upward pricing pressures will continue for raw materials, packaging components, and other costs as a result of limited supplies of various ingredients and the impact of inflationary factors, including higher labor, transportation costs, and tariffs on goods we import from overseas.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Sourcing of raw materials for our business has also been impacted by various geo-political conflicts, including the 2026 Iran War in the Middle East, the Russo-Ukrainian war in Eastern Europe, and ongoing conflicts in Sudan and Syria. These conflicts have impacted the availability and pricing of certain raw materials that we purchase along with impacts to lead times associated with materials brought in by ocean freight. We have actively worked with our customers to identify alternative sources of these materials, which has mostly mitigated the impact of these conflicts.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two private-label contract manufacturing customers that each individually represent more than 10% of our consolidated net sales. The loss of either of these customers could result in a significant negative impact to our financial position and results of operations. We continue to focus on obtaining new private-label contract manufacturing customers to reduce the risks associated with deriving a significant portion of our sales from a limited number of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Competition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compete with other manufacturers, distributors and marketers of vitamins, minerals, plant extracts, and other nutritional supplements both within and outside the U.S. The nutritional supplement industry is highly fragmented and competition for the sale of nutritional supplements comes from many sources. These products are sold primarily through retailers (i.e. drug store chains, supermarkets, and mass market discount retailers), ecommerce, health and natural food stores, and direct sales channels (i.e. network marketing and internet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private-label contract manufacturing competition in our industry is based on, among other things, customized services offered, product quality and safety, innovation, price and customer service. We believe we compete favorably with other companies because of our ability to provide comprehensive solutions for customers, our certified manufacturing operations, our commitment to quality and safety, and our research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future competitive position for private-label contract manufacturing and patent and trademark licensing will likely depend on, but not be limited to, the following:</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10"/>
        <w:gridCol w:w="69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growing acceptance of our products by new and current customers and by consumers;</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10"/>
        <w:gridCol w:w="85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protect our proprietary rights in our patent estate and the continued validity of such patents;</w:t>
            </w:r>
          </w:p>
        </w:tc>
      </w:tr>
    </w:tbl>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60"/>
        <w:gridCol w:w="110"/>
        <w:gridCol w:w="79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expand our product offerings related to our patent and trademark estate;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sz w:val="20"/>
              </w:rPr>
            </w:pPr>
            <w:r>
              <w:rPr>
                <w:sz w:val="20"/>
              </w:rPr>
              <w:t>our ability to maintain compliance with debt covenants or in the event of non-compliance with our debt covenants; our ability to obtain amendments, waivers, or modifications from our lenders on acceptable terms, or at all;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sz w:val="20"/>
              </w:rPr>
            </w:pPr>
            <w:r>
              <w:rPr>
                <w:sz w:val="20"/>
              </w:rPr>
              <w:t>the sufficiency of our available cash, cash equivalents and restricted cash, including continued access to borrowings under our credit facilities, and potential cash flows from our operations to fund our working capital and capital expenditure needs through the next 12 months and longer;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recover the carrying value of long-lived assets and accurately estimate their impairment if and when circumstances arise;</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0"/>
        <w:gridCol w:w="110"/>
        <w:gridCol w:w="6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adequate inventory levels to meet our customers' demands;</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60"/>
        <w:gridCol w:w="110"/>
        <w:gridCol w:w="67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continue to manufacture high quality products at competitive prices;</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10"/>
        <w:gridCol w:w="41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and retain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10"/>
        <w:gridCol w:w="64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 of any future governmental regulations on our products and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results of, and publicity from, product safety and performance studies performed by governments and other research institutions;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60"/>
        <w:gridCol w:w="110"/>
        <w:gridCol w:w="44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continued growth of the global nutrition industry; and</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60"/>
        <w:gridCol w:w="110"/>
        <w:gridCol w:w="83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respond to changes within the industry and consumer demand, financially and otherwise.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nutritional supplement industry is highly competitive, and we expect the level of competition to remain high over the near term. We do not have sufficient information to accurately estimate the total number or size of our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Government Regulation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is subject to varying degrees of regulation by a number of government authorities in the U.S., including the FDA, the Federal Trade Commission (FTC), the Consumer Product Safety Commission, the U.S. Department of Agriculture, and the Environmental Protection Agency. Various state and local agencies in areas where we operate and in which our or our customers' products are sold also regulate our business, such as the California Department of Health Services, Food and Drug Branch. The areas of our business regulated by both these, and other authorities include, among others:</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0"/>
        <w:gridCol w:w="110"/>
        <w:gridCol w:w="25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claims and advertising;</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0"/>
        <w:gridCol w:w="110"/>
        <w:gridCol w:w="12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labels;</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60"/>
        <w:gridCol w:w="110"/>
        <w:gridCol w:w="16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ingredients;</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60"/>
        <w:gridCol w:w="110"/>
        <w:gridCol w:w="86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 we manufacture, package, distribute, import, export, sell and store our or our customers' products; and</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110"/>
        <w:gridCol w:w="88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classification as an essential business and our right to continue operations during government shutdowns.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FDA, in particular, regulates the formulation, manufacturing, packaging, storage, labeling, promotion, distribution and sale of vitamins and other nutritional supplements in the U.S., while the FTC regulates marketing and advertising claims. Under FDA rules, companies that manufacture, package, label, distribute or hold nutritional supplements are required to meet certain GMP’s to ensure such products are of the quality specified and are properly packaged and labeled. We are committed to meeting or exceeding the standards set by the FDA and believe we are currently operating in compliance with the FDA mandated GMP's.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FDA also regulates the labeling and marketing of dietary supplements and nutritional products, including the following:</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60"/>
        <w:gridCol w:w="110"/>
        <w:gridCol w:w="87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identification of dietary supplements or nutritional products and their nutrition and ingredient labeling;</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60"/>
        <w:gridCol w:w="110"/>
        <w:gridCol w:w="97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requirements related to the wording used for claims about nutrients, health claims, and statements of nutritional support;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labeling requirements for dietary supplements or nutritional products for which “high potency” and “antioxidant” claims are made;</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60"/>
        <w:gridCol w:w="110"/>
        <w:gridCol w:w="72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notification procedures for statements on dietary supplements or nutritional products; and</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110"/>
        <w:gridCol w:w="72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premarket notification procedures for new dietary ingredients in nutritional supplements.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Dietary Supplement Health and Education Act of 1994 (DSHEA) revised the provisions of the Federal Food, Drug and Cosmetic Act concerning the composition and labeling of dietary supplements and re-defined dietary supplements to include vitamins, minerals, herbs, amino acids and other dietary substances. DSHEA generally provides a regulatory framework to help ensure safe, quality dietary supplements and the dissemination of accurate information about such products. The FDA is generally prohibited from regulating active ingredients in dietary supplements as drugs unless product claims about such supplements trigger regulatory status, such as claims that a product may heal, mitigate, cure or prevent an illness, disease or malady.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2006, the Dietary Supplement and Nonprescription Drug Consumer Protection Act (the “2006 Act”) was passed, and further revised the provisions of the Federal Food, Drug and Cosmetic Act. Under the 2006 Act, manufacturers, packers or distributors whose name appears on the product label of a dietary supplement or nonprescription drug are required to include contact information on the product label for consumers to use in reporting adverse events associated with the product’s use and to notify the FDA of any serious adverse event report. Events reported to the FDA are not considered an admission from a company that its product caused or contributed to the reported event. We believe we are in compliance with the 2006 Act, and we are committed to meeting or exceeding the requirements of the 2006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also subject to a variety of other regulations in the U.S., including those relating to health, safety, bioterrorism, taxes, labor, employment, import and export, the environment and intellectual property. All of these regulations require significant financial and operational resources to ensure compliance, and we cannot assure you we will always be in compliance despite our best efforts to do so or that being in compliance will not become prohibitively costly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operations outside the U.S. are similarly regulated by various agencies and entities in the countries in which we operate and in which our or our customers' products are sold. The regulations of these countries may conflict with those in the U.S. and may vary from country to country. The sale of our and our customers' products in certain European countries are subject to the rules and regulations of the European Union, which may be interpreted differently among the countries within the European Union. In other markets outside the U.S., we may be required to obtain approvals, licenses or certifications from a country’s Ministry of Health or comparable agency before we or our customers begin operations or the marketing of products in that country. Approvals or licenses may be conditioned on reformulation of our or our customers’ products for a particular market or may be unavailable for certain products or product ingredients. These regulations may limit our or our customers' ability to enter, or continue to operate in certain markets outside the U.S. As with the costs of regulatory compliance in the U.S., foreign regulations require significant financial and operational resources to ensure compliance, and we cannot provide assurances we will always be in compliance despite our best efforts to do so or that being in compliance will not become prohibitively costly to our business. Our failure to maintain regulatory compliance within and outside the U.S. could impact our or our customers' ability to sell products and thus, adversely impact our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Trademarks.</w:t>
      </w:r>
      <w:r>
        <w:rPr>
          <w:rFonts w:ascii="Times New Roman" w:hAnsi="Times New Roman"/>
          <w:caps w:val="false"/>
          <w:smallCaps w:val="false"/>
          <w:sz w:val="20"/>
        </w:rPr>
        <w:t xml:space="preserve"> We have developed and use trademarks in our business, particularly relating to corporate, brand and product names. We own 61 registered trademarks; including 13 registrations in the U.S. Seven of these U.S. registrations are incontestable. Federal registration of a trademark in the United States affords the owner nationwide exclusive trademark rights to the registered mark and the ability to prevent subsequent users from using the same or similar mark. However, to the extent any other business operator has acquired trademark rights in a mark by its consistent use of such mark in connection with similar goods or services in a particular geographic area, the nationwide rights conferred by federal registration can be subject to that user’s prior established non-statutory (“common law”) rights in that geographic area. In addition, rights in a registered mark are dependent upon the continued use of the mark in connection with the goods and/or services set forth in the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48 foreign registered trademarks covering 40 foreign countries, including registrations for CarnoSyn®, SR CarnoSyn®, CarnoSyn® 4X or TriBsyn® in Australia, Brazil, Canada, China, Cuba, Hong Kong, the European Union, Israel, Japan, Mexico, New Zealand, South Korea, Switzerland, the United Kingdom and Vietnam. Our registered trademarks include CarnoSyn® and the SR CarnoSyn® logos in Switzerland. We also claim common law ownership and protection of certain trademarks based upon our continued use of the tradenames. In some countries, such as the United States, common law can provide some protection of a name or mark within the particular geographic area in which it is continually and deliberately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our registered trademarks and our tradenames constitute valuable assets adding to the recognition of our products and services in the marketplace. These and other proprietary rights have been and may continue to be important in enabling us to compete; however, we cannot provide assurances our current or future trademark applications will be granted, or our current trademark registrations will be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Trade Secrets</w:t>
      </w:r>
      <w:r>
        <w:rPr>
          <w:rFonts w:ascii="Times New Roman" w:hAnsi="Times New Roman"/>
          <w:caps w:val="false"/>
          <w:smallCaps w:val="false"/>
          <w:sz w:val="20"/>
        </w:rPr>
        <w:t>. We own certain intellectual property, including trade secrets, which we seek to protect, in part, through confidentiality agreements with employees and other parties. We regard our proprietary technology, trade secrets, trademarks and similar intellectual property as critical to our success, and we rely on a combination of trade secrets, contract, patent, copyright and trademark law (including established but non-statutory law) to establish and protect the rights in our products and technology. The laws of certain foreign countries may not protect our intellectual property rights to the same extent as the laws of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Patents and Patent Licenses</w:t>
      </w:r>
      <w:r>
        <w:rPr>
          <w:rFonts w:ascii="Times New Roman" w:hAnsi="Times New Roman"/>
          <w:caps w:val="false"/>
          <w:smallCaps w:val="false"/>
          <w:sz w:val="20"/>
        </w:rPr>
        <w:t>. We currently own two U.S. patents and one corresponding non-U.S. patent registered in countries throughout North America and Europe. All of these patents and patent rights relate to the ingredient known as beta-alanine. Certain of these patents were assigned to NAI, and we made ongoing royalty payments to the prior owners of the patents until expiration of those patents in July 2026. We also sell beta-alanine and license our patent and trademark rights related to beta-alanine. Some of our patents extend as far as through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Licensing, royalties, raw material sales, and revenues we have received associated with the sale and licensing of beta-alanine under the CarnoSyn®, SR CarnoSyn®, CarnoSyn® 4X and TriBsyn® trademarks were primarily related to the direct sale of the raw material beta-alanine and totaled $7.9 million in fiscal 2026. We incurred patent compliance expenses of approximately $0.4 million during fiscal 2026 primarily in connection with our efforts to procure, protect and support our proprietary rights and patent estate. We expect to continue to incur these types of compliance expenses during fiscal 2027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Employees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we employed 219 employees in the U.S., 46 who were employed in research, laboratory and quality control, 10 in sales and marketing, and 162 in manufacturing and administration. From time to time, we use temporary personnel to help us meet shorter-term operating requirements. These positions typically are in manufacturing and manufacturing support. As of June 30, 2026, we had 11 temporary personnel in the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NAIE employed an additional 82 employees and 11 temporary employees. Most of these positions were in the areas of manufacturing and manufacturing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employees are not represented by a collective bargaining agreement, and we have not experienced any work stoppages as a result of labor disputes. We believe our relationship with our employees is good. We cannot assure this will continue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Seasonality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general economic factors, we are impacted by seasonal factors and trends, such as major cultural events and vacation patterns. We manufacture and sell products to customers that operate in many different countries throughout the world and these seasonal factors vary by region. Although we believe the impact of seasonality on our consolidated results of operations is minimal, our quarterly results may vary significantly in the future due to the timing of private-label contract manufacturing and CarnoSyn®, SR CarnoSyn®, CarnoSyn® 4X and TriBsyn® beta-alanine raw material orders. Future revenue trends may not follow historical patterns. The market price of our common stock may be adversely affected by these seasonal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Financial Information about Our Business Segments and Geographic Areas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operations are comprised of two reportable segments: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Private-label contract manufacturing, in which we primarily provide manufacturing services to companies that market and distribute nutritional supplements and other health care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licensing, and raw material sales primarily associated with the sale and license of beta-alanine under our CarnoSyn®, SR CarnoSyn®, CarnoSyn® 4X and TriBsyn® trademarks.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private-label contract manufacturing products are sold both in the U.S. and in markets outside the U.S., including Europe, Australia, Asia, Mexico, and Canada. Our primary markets outside the U.S. are Europe and Asia. Our patent and trademark licensing activities are primarily based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additional financial information, including financial information about our business segment and geographic areas, please see the consolidated financial statements and accompanying notes to the consolidated financial statements included under Item 8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activities in markets outside the U.S. are subject to political, economic and other risks in the countries in which our and our customers' products are sold and in which we operate. For more information about these and other risks, please see Item 1A in this report.</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6" w:name="i1a"/>
      <w:bookmarkEnd w:id="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When evaluating our business and future prospects, you should carefully review and consider the risks described below in conjunction with other information in this report and in other reports and documents we file with the SEC. The risks and uncertainties described below are not the only ones we face. Additional material risks and uncertainties, not presently known to us, or that we currently see as immaterial, may also occur or become material. If any of the following risks or any additional risks and uncertainties actually occur or become material, our business, financial condition and results of operations could be seriously harmed. In that event, the market price of our common stock could decline, and our stockholders could lose all or a portion of the value of their investment in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Risks Related to the Company</w:t>
      </w:r>
      <w:r>
        <w:rPr>
          <w:rFonts w:ascii="Times New Roman" w:hAnsi="Times New Roman"/>
          <w:caps w:val="false"/>
          <w:smallCaps w:val="false"/>
          <w:sz w:val="20"/>
        </w:rPr>
        <w:t>’</w:t>
      </w:r>
      <w:r>
        <w:rPr>
          <w:rFonts w:ascii="Times New Roman" w:hAnsi="Times New Roman"/>
          <w:b/>
          <w:caps w:val="false"/>
          <w:smallCaps w:val="false"/>
          <w:sz w:val="20"/>
        </w:rPr>
        <w:t>s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experienced multiple years of operating losses, negative operating cash flows, increased dependence on our credit facilities, and there is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we had $7.5 million in cash, cash equivalents and restricted cash of which $6.3 million was held by NAIE. On October 15, 2025, NAIE paid a dividend of $3.1 million to NAI which was subject to a 5% Swiss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18, 2026, we entered into a new domestic credit facility with Legacy Corporate Lending, LLC ("Legacy"). The new credit facility includes a fixed charge coverage ratio covenant requirement, based on only domestic operations, and pursuant to the Loan and Security Agreement will be measured for the first time based on the nine months ending September 30, 2026. We will not be able to comply with this covenant required under the Loan and Security Agreement as of September 30, 2026 due to one of our largest private-label contract manufacturing customer's material downward revisions to their forecast of projected orders and purchases from us during our fiscal year 2027. We have informed the lender of our pending non-compliance with the fixed charge coverage ratio, and are collaborating with them, but there is no assurance our lender will agree to a waiver, amendment, or other remedy, or the difference in amount, cost or other factors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a focus on revenue growth and cost reduction, we have listed our corporate headquarters for sale and are actively marketing the property for sale. In addition, the Board of Directors also approved management to sell our manufacturing facility in Carlsbad, California which is a more specialized property, and we anticipate may not be sold quickly. There is no assurance our efforts to sell our corporate headquarters or also our manufacturing facility will result in a sale, when such sale(s) may be completed, or whether favorable price or terms will be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unable to improve operating results, or cannot work out a remedy for our pending non-compliance with this debt covenant, or cannot sell either or both properties, there may be continued deterioration in our financial position and more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 significant or prolonged economic downturn could have a material adverse effect on our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results of operations are affected by the level of business activity of our customers and licensees, which in turn are affected by the level of consumer demand for their products. A significant or prolonged economic downturn may adversely affect the disposable income of many consumers and may lower demand for the products we produce for our private-label contract manufacturing customers and products sold or manufactured by others using our licensed patent rights. Any decline in economic conditions in the U.S. and the various foreign markets in which our customers operate could negatively impact our customers’ businesses and our operations. A significant decline in consumer demand and the level of business activity of our customers, even if only due in part to general economic conditions, could have a material adverse effect on our revenues and profit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Risks related to global economic instability, including global supply chain issues, inflation and fuel and energy costs may affect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2022, armed conflict escalated between Russia and Ukraine. Although Russia and Ukraine did not account for any of our net sales in FY 2026 or FY 2025, economic sanctions and export control measures by the U.S. and European Union against Russia have resulted in increased volatility in the availability and prices of raw materials that are produced in that region. There are further concerns regarding continued supply chain disruptions, consumer purchasing and consumption behavior, increases in global shipping expenses, greater volatility in foreign exchange and interest rates, increased energy costs, and other unforeseen business disruptions due to the current global geopolitical tensions, including relating to Ukraine and the Middle East. We will continue to evaluate impacts of the conflict on our customers, suppliers, employees,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2026, the launch of Operation Epic Fury escalated conflict between the U.S. alongside Israeli forces targeting Iran. In response, blockades of vital maritime chokepoints such as the Strait of Hormuz have caused the global price level of commodities including fuel and energy to increase. Conflict with Iran was preceded by armed conflict between Israel and Hamas that began in October 2023. Israel accounts for a small portion of our global net sales, but we also source multiple raw materials that come from Israel. While we do not anticipate this conflict will have a significant impact on our net sales, we are continually communicating with our customers and suppliers who may be impacted by this conflict, and we are evaluating options for alternative ingredient sources and/or holding safety stock of impacted materials to limit the effect this conflict may have on our ability to obtain the ingredients sourced from this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Recently, these conflicts have resulted in market uncertainty and volatility, and this has negatively affected many industries, including the dietary supplement industry. Global financial conditions remain subject to sudden and rapid destabilizations in response to economic shocks. A slowdown in the financial markets or other economic conditions including but not limited to global supply chain issues, inflation, tariffs and trade disputes, fuel and energy costs, lack of available credit, the state of the financial markets, interest rates and tax rates may adversely affect our growth. Future economic shocks may be precipitated by a number of causes, including a continued rise in the price of oil and other commodities, the volatility of raw material prices, geopolitical instability, terrorism, pandemics, the devaluation and volatility of global stock and debt markets and natural disasters. Any sudden or rapid destabilization of global economic conditions could adversely impact our ability to obtain equity or debt financing in the future on terms favorable to us or at all. In such an event, our operations and financial condition could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Prices and availability of commodities consumed or used in connection with raw materials we purchase or the operation of our manufacturing facilities, such as natural gas, diesel, oil and electricity, also fluctuate, and these fluctuations affect the costs of operations. These fluctuations can be unpredictable, can occur over short periods of time and may have a material adverse impact on our operating costs or the timing and costs of various projects. Over the past several years, the United States, and many other countries, have experienced significant volatility related to inflationary factors. These factors have impacted all aspects of our manufacturing operations, including increased costs of labor, utilities, materials, supplies, etc. While we continue to evaluate cost reduction opportunities, including working with both suppliers and customers, to attempt to mitigate the impact of these higher operational costs, there can be no assurance our efforts will result in an offset of such increases or if inflation will return to more reasonable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industry is highly competitive, and we may be unable to continue to compete effectively. Increased competition could adversely affect our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market for our products, and those of our customers, is highly competitive. Some of our competitors are larger than we are and have greater financial resources and broader name recognition than we do. Our competitors may be able to devote greater resources to research and development, marketing and other activities that could provide them with a competitive advantage</w:t>
      </w:r>
      <w:r>
        <w:rPr>
          <w:rFonts w:ascii="Times New Roman" w:hAnsi="Times New Roman"/>
          <w:i/>
          <w:caps w:val="false"/>
          <w:smallCaps w:val="false"/>
          <w:sz w:val="20"/>
        </w:rPr>
        <w:t>.</w:t>
      </w:r>
      <w:r>
        <w:rPr>
          <w:rFonts w:ascii="Times New Roman" w:hAnsi="Times New Roman"/>
          <w:caps w:val="false"/>
          <w:smallCaps w:val="false"/>
          <w:sz w:val="20"/>
        </w:rPr>
        <w:t xml:space="preserve"> Our market has relatively low entry barriers and is highly sensitive to the introduction of new products that may rapidly capture significant market share. Our competitors may not stress the level of quality we provide and could manufacture with a lower level of quality at lower costs. Our competitors are largely private and not subject to the same disclosure requirements as a publicly traded company. If consumers do not perceive higher quality as worth a higher price, our revenue could suffer. Increased competition could result in price reductions, reduced profit margins or loss of market share, any of which could have a material adverse effect on our financial condition and results of operations. There can be no assurance we will be able to compete effectively in this intensely competitive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business is subject to the effects of adverse publicity, which could negatively affect our sales and 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can be affected by adverse publicity or negative public perception about us, our competitors, our customers, our products, or our industry generally. Adverse publicity may include publicity about the nutritional supplements industry generally, the efficacy, safety and quality of nutritional supplements and other health care products or ingredients in general or our and our customers' products or ingredients specifically, and regulatory investigations, regardless of whether these investigations involve us or the business practices or products of our competitors, or our customers. Any adverse publicity or negative public perception could have a material adverse effect on our business, financial condition and results of operations. Our business, financial condition and results of operations could be adversely affected if any of our or our customers' products or any similar products distributed by other companies are alleged to be or are proved to be harmful to consumers or to have unanticipated and unwanted health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Operations, Manufacturing, and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attract and retain qualified management personnel, and key manufacturing personnel, our business may suffer.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executive officers and other management personnel are primarily responsible for managing our day-to-day operations. We believe our success depends largely on our ability to attract, retain and motivate highly qualified management and key manufacturing personnel. Competition for qualified individuals can be intense and has been increasing in recent years. We may not be able to hire additional qualified personnel in a timely manner or on terms that would not substantially increase our costs. Any inability to retain a skilled professional management team and manufacturing team could adversely affect our ability to successfully execute our business strategies and achieve our goals and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manufacturing and third party fulfillment activities are subject to certain risks.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manufacture the majority of our and our customers' products at our manufacturing facilities in California and Switzerland. As a result, we are dependent on the uninterrupted and efficient operation of these facilities. Our manufacturing operations, including those of our suppliers, are subject to power failures, blackouts, border shutdowns, telecommunications failures, computer viruses, cybersecurity vulnerabilities, human error, breakdown, failure or substandard performance of our facilities, our equipment, the improper installation or operation of equipment, terrorism, pandemics, natural or other disasters, intentional acts of violence, and the need to comply with the requirements or directives of governmental agencies, including but not limited to the FDA. In addition, we may in the future determine to expand or relocate our facilities, which may result in slowdowns or delays in our operations. While we have implemented and regularly evaluate various emergency, contingency and disaster recovery plans and we maintain business interruption insurance, there can be no assurance the occurrence of these or any other operational problems at our facilities in California or Switzerland would not have a material adverse effect on our business, financial condition and results of operations. Furthermore, there can be no assurance our contingency plans will prove to be adequate or successful if needed or our insurance will continue to be available at a reasonable cost or, if available, will be adequate to cover any losses that we may incur from an interruption in our manufacturing and distribution operations. In August of 2021, we acquired a new warehouse and distribution facility in Carlsbad, California, and converted it into a dedicated high-volume powder blending and packaging facility while also providing additional raw material storage capacity. In addition, the Board of Directors also approved management to sell our manufacturing facility in Carlsbad, California which is a more specialized property, and we anticipate may not be sold quickly. There can be no assurance we will be successful in obtaining additional facility certifications that may be necessary to attract new customers or that we will obtain sufficient business through our on-going sales efforts to effectively utilize the facility and our investment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source our beta-alanine raw material as well as certain manufacturing activities from third parties. The operation of the third-party service provider’s facilities is subject to the interruption risk and other risks similar to those described above for our facilities and there can be no assurance these interruptions or any other operational problem at such third party’s facilities would not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or our private-label contract manufacturing customers expand into additional markets outside the U.S. or our or their sales in markets outside the U.S. increase, our business could become increasingly subject to political, economic, regulatory and other risks in those markets, which could adversely affect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future growth may depend, in part, on our ability and the ability of our private-label contract manufacturing customers to expand into additional markets outside the U.S. or to improve sales in markets outside the U.S. There can be no assurance we or such customers will be able to expand in existing markets outside the U.S. or enter new markets on a timely basis, or that new markets outside the U.S. will be profitable. There are significant regulatory and legal barriers in markets outside the U.S. that must be overcome to enter and operate in such markets. We are subject to the burden of complying with a wide variety of national and local laws, including multiple and possibly overlapping or conflicting laws. We may also experience difficulties adapting to new cultures, business customs and legal systems. Our sales and operations outside the U.S. are subject to political, economic and social uncertainties including, among others:</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60"/>
        <w:gridCol w:w="110"/>
        <w:gridCol w:w="2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import and export controls;</w:t>
            </w:r>
          </w:p>
        </w:tc>
      </w:tr>
    </w:tbl>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60"/>
        <w:gridCol w:w="110"/>
        <w:gridCol w:w="20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 duties and tariffs;</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110"/>
        <w:gridCol w:w="2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regulations and laws;</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110"/>
        <w:gridCol w:w="42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coordination of geographically separated locations;</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10"/>
        <w:gridCol w:w="71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absence in some jurisdictions of effective laws to protect our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110"/>
        <w:gridCol w:w="29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currency exchange rates;</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60"/>
        <w:gridCol w:w="110"/>
        <w:gridCol w:w="31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and political instability;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transfer and other restrictions and regulations that may limit our ability to sell certain products or repatriate profits to the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changes related to these, and other factors could adversely affect our business, profitability and growth prospects. If we or our customers expand into additional markets outside the U.S. or improve sales in markets outside the U.S., these and other risks associated with operations outside the U.S. will likely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failure of our suppliers to supply quality materials in sufficient quantities, at a favorable price, and in a timely fashion could adversely affect the results of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buy our raw materials from a limited number of suppliers. During fiscal 2026 and fiscal 2025, one of our suppliers represented more than 10% of our total raw material purchases. Additionally, we currently purchase all of our beta-alanine for our CarnoSyn®, SR CarnoSyn®, CarnoSyn® 4X and TriBsyn® products from a single manufacturer located in Japan. Any disruption in their ability to source materials for or produce the amounts of beta-alanine needed to meet our requirements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loss of any of our major suppliers or of any supplier who provides us materials that are hard to obtain elsewhere at the same quality could adversely affect our business operations. Although we believe we could establish alternative sources for most of our raw materials, any delay in locating and establishing relationships with other sources could result in shortages of products we manufacture from such raw materials, with a resulting loss of sales and customers. In certain situations, we may be required to alter our products or with our customers' consent to substitute different materials from alternative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shortage of raw materials or an unexpected interruption of supply could also result in higher prices for those materials. We have experienced increases in various raw material costs, transportation costs and the cost of petroleum-based raw materials and packaging supplies used in our business. Increasing pricing pressures on raw materials and other products have continued throughout fiscal 2026 as a result of limited supplies of various ingredients, tariffs, and inflationary factors, including higher labor and transportation costs. We expect these upward pressures to continue through fiscal 2027. Although we may be able to raise our prices in response to significant increases in the cost of raw materials, we may not be able to raise prices sufficiently or quickly enough to offset the negative effects such cost increases could have on our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can be no assurance suppliers will provide the quality raw materials needed by us in the quantities requested or at a price we are willing to pay. Because we do not control the actual production of these raw materials, we are also subject to delays caused by interruption in production of materials including but not limited to those resulting from conditions outside of our control, such as international conflicts, pandemics, weather, transportation interruptions, labor shortages, strikes, terrorism, natural disasters, and other catastrophic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our efforts to maintain or increase sales of CarnoSyn®, SR CarnoSyn®, CarnoSyn® 4X and TriBsyn® are substantially dependent on the availability of the raw material beta-alanine and sales of beta-alanine or products incorporating beta-alanine. The availability of beta-alanine, and thus sales of such raw material and products using such material, could be negatively impacted by any shortages, interruptions and similar events described above, which could in turn adversely affect the amount of revenue and profit margin we earn from the sale of beta-alanine.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Customer Concentration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Because we derive a significant portion of our revenues from a limited number of customers, our revenues would be adversely affected by the loss of a major customer or a significant change in their business, personnel or the timing or amount of their sales to their customers and their orders from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in the past and expect to continue to derive a significant portion of our revenues from a relatively limited number of customers. During the fiscal year ended June 30, 2026, sales to our two largest customers were approximately 52% of our consolidated net sales. We cannot predict with any certainty if sales to these customers will increase or decrease in the future. Subsequent to June 30, 2026 and prior to filing this Form 10-K, one of our largest customers informed us of a material downward revision to their forecast of their projected orders and purchases from us during our fiscal year 2027 primarily caused by their growing inventory levels. Please see disclosure of Subsequent Events in Note O, Part II in Item 8 on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16, 2023, we announced the temporary closure of our new high-speed powder processing facility in Carlsbad, California due to excess inventory on hand at one of our largest customers and their efforts to rebalance supply and demand. We reopened this facility in May 2024 based on new orders received from this customer but there can be no certainty that this, or any other customer, will not experience similar circumstances that require them to reduce or discontinue orders in the future. In addition, the Board of Directors also approved management to sell our manufacturing facility in Carlsbad, California which is a more specialized property, and we anticipate may not be sold quickly.</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sz w:val="20"/>
        </w:rPr>
      </w:pPr>
      <w:r>
        <w:rPr>
          <w:sz w:val="20"/>
        </w:rPr>
        <w:t xml:space="preserve">The loss of one of our largest customers, or other major customers, a significant decline in sales to any of our largest customers, a significant change in their business model or personnel, or in their ability to make payments when due, could materially and adversely affect our financial condition and results of operations. The timing of our customers’ orders is impacted by, among other factors, their marketing programs, their customer demand, seasonality, their raw material suppliers we are sometimes required to use, their supply chain management, their entry into new markets and their new product introductions, all of which are outside of our control. All of these attributes have had and are expected to have a significant impact on our business in the future.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future growth and stability depends, in part, on our ability to diversify our sales. Our efforts to establish new sales from both existing customers and new customers could require significant initial investments, which may or may not result in higher overall sales and improved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strategy depends in large part on our ability to develop new product sales from both current and new customer relationships. These activities often require a significant up-front investment including, among others, customized formulations, compliance with different regulatory schemes, product registrations, package design, product testing, pilot production runs, and the build-up of initial inventory. We may experience significant delays from the time we increase our operating expenses and make investments in inventory (incur additional related carrying costs) until the time we generate net sales from new products or customers, and it is possible after incurring such expenditures we may not generate material revenue from new products or customers. If we incur significant expenses and investments in inventory we are not able to recover, and we are not able to compensate for those expenses, our operating results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currently derive significant revenues and income from sales of beta-alanine and from licensing our patents. Our ability to maintain or grow our sales of beta-alanine and license revenue from our other patents is contingent on our ability to defend our patents and commercialize the sale of beta-alanine under our instant release CarnoSyn</w:t>
      </w:r>
      <w:r>
        <w:rPr>
          <w:rFonts w:ascii="Times New Roman" w:hAnsi="Times New Roman"/>
          <w:caps w:val="false"/>
          <w:smallCaps w:val="false"/>
          <w:sz w:val="20"/>
        </w:rPr>
        <w:t xml:space="preserve">® </w:t>
      </w:r>
      <w:r>
        <w:rPr>
          <w:rFonts w:ascii="Times New Roman" w:hAnsi="Times New Roman"/>
          <w:b/>
          <w:i/>
          <w:caps w:val="false"/>
          <w:smallCaps w:val="false"/>
          <w:sz w:val="20"/>
        </w:rPr>
        <w:t>trademark, our sustained release SR CarnoSyn</w:t>
      </w:r>
      <w:r>
        <w:rPr>
          <w:rFonts w:ascii="Times New Roman" w:hAnsi="Times New Roman"/>
          <w:caps w:val="false"/>
          <w:smallCaps w:val="false"/>
          <w:sz w:val="20"/>
        </w:rPr>
        <w:t>® </w:t>
      </w:r>
      <w:r>
        <w:rPr>
          <w:rFonts w:ascii="Times New Roman" w:hAnsi="Times New Roman"/>
          <w:b/>
          <w:i/>
          <w:caps w:val="false"/>
          <w:smallCaps w:val="false"/>
          <w:sz w:val="20"/>
        </w:rPr>
        <w:t>patents and trademark, and any additional patents we may seek related to CarnoSyn</w:t>
      </w:r>
      <w:r>
        <w:rPr>
          <w:rFonts w:ascii="Times New Roman" w:hAnsi="Times New Roman"/>
          <w:caps w:val="false"/>
          <w:smallCaps w:val="false"/>
          <w:sz w:val="20"/>
        </w:rPr>
        <w:t>® </w:t>
      </w:r>
      <w:r>
        <w:rPr>
          <w:rFonts w:ascii="Times New Roman" w:hAnsi="Times New Roman"/>
          <w:b/>
          <w:i/>
          <w:caps w:val="false"/>
          <w:smallCaps w:val="false"/>
          <w:sz w:val="20"/>
        </w:rPr>
        <w:t>4X and TriBsyn</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own multiple patents and trademarks related to the use of beta-alanine in food and nutritional supplements. A majority of our revenue and income from this segment is currently derived from activity related to licensing our patents and other intellectual property associated with instant release beta-alanine, sold under our trade name CarnoSyn®. Our final patent for this version of CarnoSyn® expired in July 2026. Our patent and trademark licensing revenue decreased from $8.1 million in fiscal 2025 to $7.9 million in fiscal 2026 due to a decrease in trademarked material sales, partially offset by increased orders of other raw material sales. There is no assurance we will be successful maintaining our historical CarnoSyn® instant release beta-alanine sales levels or grow future sales volumes of CarnoSyn® instant release beta-alanine. If we are not successful it could have a material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SR CarnoSyn®, CarnoSyn® 4X and TriBsyn® are superior delivery systems for CarnoSyn® beta-alanine as they allow for increased daily dosing, improved muscle retention and bioavailability of carnosine. Our patents related to SR CarnoSyn® extend through 2036, and we believe SR CarnoSyn® beta-alanine and the introduction of CarnoSyn® 4X and TriBsyn® high-bioavailability beta-alanine are an important step in the further commercialization of our patent estate. There can be no assurance we will be successful in getting the market to accept these new forms of beta-alanine or that we will be successful launching new products utilizing SR CarnoSyn®, CarnoSyn® 4X or TriBsyn® beta-alanine.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products and manufacturing activities are subject to extensive government regulation, which could limit or prevent the sale of our products in some markets and could increase our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packaging, labeling, advertising, promotion, distribution, and sale of our and our customers' products we produce are subject to regulation by numerous national and local governmental agencies in the U.S. and in other countries. For example, we are required to comply with certain GMP’s and incur costs associated with the audit and certification of our facilities. Failure to comply with governmental regulations may result in, among other things, injunctions, product withdrawals, recalls, product seizures, fines, and criminal prosecutions. Any action of this type by a governmental agency could materially adversely affect our ability to successfully market our products and services. In addition, if such governmental agency has reason to believe the law is being violated (for example, if it believes we do not possess adequate substantiation for product claims), it can initiate an enforcement action. Governmental agency enforcement could result in orders requiring, among other things, limits on advertising, consumer redress, divestiture of assets, rescission of contracts, and such other relief as may be deemed necessary. Violation of these orders could result in substantial financial or other penalties. Any action by a governmental agency could materially adversely affect our ability and our customers’ ability to successfully market and continue selling the products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Before commencing operations or marketing our products and often our customers' products we manufacture in markets outside the U.S., we are routinely required to obtain approvals, licenses, or certifications from a country’s ministry of health or comparable agency. Approvals or licensing may be conditioned on reformulation of products or even may be unavailable with respect to certain products or product ingredients. We must also comply with product labeling and packaging regulations that vary from country to country. Furthermore, the regulations of these countries may conflict with those in the U.S. and with each other. In certain European countries, the sale of our products and our customers' products we manufacture are subject to the rules and regulations of the European Union, which may be interpreted differently among the countries within the European Union. The cost of complying with these various and potentially conflicting regulations can be substantial and can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COVID-19 pandemic, our operations were subject to additional laws and regulations imposed by federal, state, and local governments primarily related to the ability of our employees to come to work and the safety measures that needed to be in place in order for our facilities to remain operational. While we already had robust quality standards and procedures, we had to constantly monitor these new regulations and implement additional procedures where necessary, including at times temperature checks, additional cleaning procedures, allowing administrative personnel to work remotely, etc. Recurrence of pandemic related regulations, or new or expanded regulations, or the reinstatement of pandemic conditions, including any inability to continue qualifying as an essential business in the event of future government-imposed lockdowns,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cannot predict the nature of any future laws, regulations, interpretations, or applications, nor can we determine what effect additional governmental regulations, when and if adopted, would have on our business. They could include new or revised requirements or restrictions related to the safe operation of our facilities, or for the reformulation of certain products to meet new standards, the recall or discontinuance of certain products, additional compliance costs or record keeping requirements, expanded or different labeling, and additional scientific substantiation. Any or all of these requirements could have a material adverse effect on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Tariffs on imported goods from China and elsewhere could adversely affect our business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United States has implemented increased tariffs on a wide range of goods and materials imported from most of its foreign trading partners including China, Japan, India, Russia, Vietnam, South Korea, Australia, the European Union, Canada, Mexico and other governments. These goods and materials may include products, applications, and ingredients we or our customers require for their products, including beta-alanine. Our ability to maintain or increase CarnoSyn® sales and licensing revenue depends on the availability of the raw material beta-alanine. China and other governments responded to the implementation of tariffs by the United States by imposing their own tariffs on certain American products. Continuing or increased tariffs could have a material adverse effect on our business and our customers’ businesses, the availability of beta-alanine, and the cost of other raw materials we use in our customers’ products. While it is difficult to predict whether or how existing and additional potential tariffs will be imposed, or how tariffs will impact our business, we believe the imposition of additional tariffs by the U.S. or other governments on products we or our customers offer for sale, or ingredients we use in the products we manufacture could adversely impact our offerings and our customers, and could have an adverse impact on the availability of raw materials we purchase including beta-alanine from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results could adversely impact our ability to license our patents and trademarks, our ability to sell beta-alanine, and our customers’ ability to compete in the marketplace, resulting in reduced demand for our products, and products we manufacture for our customers. Additional tariffs imposed by any government on beta-alanine could have an adverse impact on the price we have to pay for beta-alanine and the availability of beta-alanine. Any of these events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could be exposed to employment litigation matters such as but not limited to wage and hour claims, which may be costly and could materially adversely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an employer responsible for employees in the United States and in Switzerland, we are subject to operate in accordance with employment laws that prevail in several jurisdictions. Legal actions can be brought against us with or without merit from current or past employees and the resolution of these uncertain matters could result in the expenditure of significant financial and managerial resources. Settlement payments or unfavorable outcomes could adversely impact our results of operations. Our evaluation of the likely impact of these actions could be different from actual outcomes that may be unfavorable and unexpected.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we were sued by three former employees in two separate, but substantially identical matters brought by the same law firm. The lawsuits were filed as a putative class action and a Private Attorney General Act ("PAGA") action seeking awards for all similarly situated employees going back ten years or more. We responded to these actions and agreed to submit the matters for mediation. On July 3, 2025, the mediation took place, and a tentative settlement agreement was reached whereby we agreed to contribute a maximum of $1.25 million. The court has consolidated the two actions. The settlement was brought before the court and an attempt to contact all similarly situated employees was made for them to participate at their discretion. The court agreed to the settlement. Payment was remitted in the first quarter of fiscal year 2027, and final court approval and termination of the proceedings is expected to take place in February 2027. Although we were not found liable and did not admit any liability, we accrued the maximum settlement amount in our results of operations as of June 30, 2025, along with estimated related legal fees of approximately $150,000. During the year ended June 30, 2026, we accrued additional estimated related legal fees of $44,000.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could be exposed to product liability claims or other litigation, which may be costly and could materially adversely affect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could face financial liability due to product liability claims if the use of our products results in significant loss or injury. Additionally, the manufacture and sale of our or our customers' products involves a risk of injury to consumers from tampering by unauthorized third parties or product contamination. We could be exposed to future product liability claims that include, among others, assertions that: our or our customers' products contain contaminants; we or our customers provide consumers with inadequate instructions about product use; or we provide inadequate warning about side effects or interactions of our or our customers' products with other substances. Even if we were to prevail in any such claims, the cost of litigation and settlement could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maintain product liability insurance coverage, including primary product liability and excess liability coverage. While we expect to be able to continue our product liability insurance, there can be no assurance we will be able to continue such insurance coverage, or such insurance coverage will be adequate to cover any liability we may incur, or our insurance policies will continue to be available at a cost similar to our cost today, or even an economically reasonable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it is possible one or more of our insurers could exclude from our coverage certain ingredients used in our or our customers' products. In such event, we may have to stop using those ingredients or rely on indemnification or similar arrangements with our customers who wish to continue to include those ingredients in their products. A substantial increase in our product liability risk or the loss of customers or product lines, or the failure of a customer to honor indemnification agreements could each have a material adverse effect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continue to incur significant costs in the course of creating and defending our intellectual property. We may be unable to protect our intellectual property rights or may inadvertently infringe on the intellectual property rights of others.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possess and may possess in the future certain proprietary technology, trade secrets, trademarks, trade names, licenses, patents, and similar intellectual property. We may continue to incur significant patent and trademark litigation costs associated with creating and defending our intellectual property. During fiscal 2026, we incurred approximately $0.4 million in patent litigation and prosecution expense and expect these expenses to be between $0.1 million and $0.3 million during fiscal 2027. There is no assurance we will be able to create new intellectual property, protect our existing intellectual property adequately, or that our intellectual property rights will be upheld. If as we have been in the past, we are again subject to legal proceedings seeking to invalidate our patent rights, such proceedings or the success of the efforts thereby could have a material adverse impact upon our financial condition and results of operations. Furthermore, the laws of certain foreign countries may not protect our intellectual property rights to the same extent as do the laws of the U.S. Additional litigation in the U.S. or abroad may be necessary to enforce our intellectual property rights, to determine the validity and scope of the proprietary rights of others or to defend against claims of infringement. Such litigation, even if ultimately determined in our favor, could result in substantial additional costs and diversion of resources and could have a material adverse effect on our business, results of operations and financial condition. If infringement claims are asserted against us, we may seek to obtain a license to use the claiming third party’s intellectual property rights. There can be no assurance such a license would be available at all or available on terms acceptable or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Insider Ownership and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certain provisions of our Certificate of Incorporation, Bylaws and Delaware law are triggered, the market for our shares may decrease.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provisions in our Certificate of Incorporation, Bylaws and Delaware corporate law may discourage unsolicited proposals to acquire our business, even if such proposals would benefit our stockholders. Those provisions include one that authorizes our Board of Directors, without stockholder approval, to issue up to 500,000 shares of preferred stock having such rights, preferences, and privileges, including voting rights, as the Board of Directors designates. The rights of our common stockholders will be subject to, and may be adversely affected by, the rights of holders of any preferred stock that may be issued in the future. Any or all of these provisions could delay, deter or prevent a takeover of our company and could lower the price investors are willing to pay for our common stock and the number of investors willing to own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Collectively, our officers and directors own a significant amount of our common stock, giving them influence over corporate transactions and other matters and potentially limiting the influence of other stockholders on important policy and management issues.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officers and directors, together with their families and affiliates, beneficially owned approximately 20% of our outstanding shares of common stock as of June 30, 2026. Approximately 15% of the outstanding shares of common stock are beneficially owned by Mark LeDoux and his family. Mr. LeDoux is our Chief Executive Officer and Chairman of the Board. As a result, our officers and directors, and in particular Mr. LeDoux, could influence such business matters as the election of directors and approval of significant corporate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Various transactions could be delayed, deferred, or prevented without the approval of stockholders, including the following:</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110"/>
        <w:gridCol w:w="36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transactions resulting in a change in control;</w:t>
            </w:r>
          </w:p>
        </w:tc>
      </w:tr>
    </w:tbl>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60"/>
        <w:gridCol w:w="110"/>
        <w:gridCol w:w="20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mergers and acquisitions;</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60"/>
        <w:gridCol w:w="110"/>
        <w:gridCol w:w="10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tender offers;</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110"/>
        <w:gridCol w:w="20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election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60"/>
        <w:gridCol w:w="110"/>
        <w:gridCol w:w="12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proxy contests.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can be no assurance that conflicts of interest will not arise with respect to the officers and directors who own shares of our common stock or that conflicts will be resolved in a manner favorable to the Company or our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Future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pursue acquisitions of other companies that, if not successful, could adversely affect our business,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pursue acquisitions of companies we believe could complement or expand our business, augment our market coverage, provide us with important relationships or otherwise offer us growth opportunities. Acquisitions involve numerous risks, including the following:</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10"/>
        <w:gridCol w:w="86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difficulties related to integrating the products, personnel and operations of an acquired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operate efficiently as a combined organization utilizing common information and communication systems, operating procedures, financial controls and human resources practices;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110"/>
        <w:gridCol w:w="63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diverting management’s attention from other daily operations of the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entering markets in which we have no or limited prior direct experience and where competitors in such markets have more experience and stronger market positions;</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60"/>
        <w:gridCol w:w="110"/>
        <w:gridCol w:w="46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loss of key employees of an acquired company;</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10"/>
        <w:gridCol w:w="82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inability to achieve cost savings and other potential benefits expected from the acquisition;</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60"/>
        <w:gridCol w:w="110"/>
        <w:gridCol w:w="57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uncertain sales and earnings stream from an acquired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impairment charges, which may be significant, against goodwill and purchased intangible assets acquired in an acquisition due to changes in conditions and circumstances that occur after the acquisition, many of which may be outside of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can be no assurance that acquisitions we may pursue will be successful. If we pursue an acquisition but are not successful in completing it, or if we complete an acquisition but are not successful integrating an acquired company’s employees, products or operations, our business, financial position or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expect our operating results will vary. Fluctuations in our operating results may adversely affect the share price of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net sales increased during fiscal 2026 as compared to fiscal 2025 and our loss from operations increased during the same period. There can be no assurance our net sales will further improve in the near term, or we will earn a profit in any given year. We experienced three years of net losses in fiscal years 2026, 2025, and 2024 and may incur losses in the future. We experienced negative cash flows from operating activities in fiscal years 2026 and 2024. Our operating results may fluctuate from year to year and/or from quarter to quarter due to various factors including differences related to the timing of revenues and expenses for financial reporting purposes and other factors described in this report. At times, these fluctuations may be significant. We currently anticipate we will experience a net loss for fiscal 2027. Fluctuations in our operating results may adversely affect the share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stock price could fluctuate significantly.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prices in general can be volatile and ours is no different. The trading price of our stock may fluctuate in response to the following, as well as other, factors including but not limited to factors outside of our control:</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60"/>
        <w:gridCol w:w="110"/>
        <w:gridCol w:w="62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broad market fluctuations and general economic and/or political conditions;</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60"/>
        <w:gridCol w:w="110"/>
        <w:gridCol w:w="29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our financial results;</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110"/>
        <w:gridCol w:w="25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relatively low trading volumes;</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60"/>
        <w:gridCol w:w="110"/>
        <w:gridCol w:w="45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offerings of our common stock or other securities;</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10"/>
        <w:gridCol w:w="49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condition of the nutritional supplement industry;</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110"/>
        <w:gridCol w:w="1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competition;</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60"/>
        <w:gridCol w:w="110"/>
        <w:gridCol w:w="14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action;</w:t>
            </w:r>
          </w:p>
        </w:tc>
      </w:tr>
    </w:tbl>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60"/>
        <w:gridCol w:w="110"/>
        <w:gridCol w:w="14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publicity;</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10"/>
        <w:gridCol w:w="49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manipulative or illegal trading practices by third parties; and</w:t>
            </w:r>
          </w:p>
        </w:tc>
      </w:tr>
    </w:tbl>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110"/>
        <w:gridCol w:w="6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and our customers’ and suppliers’ products and other public announcements.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market for our stock has historically experienced significant price and volume fluctuations. There can be no assurance that an active market in our stock will continue to exist or that the price of our common stock will not decline. Our future operating results may be below the expectations of securities analysts and investors. If this were to occur, the price of our common stock could decline, perhaps substantially.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our shares may be listed for trading on one or more foreign exchanges, with or without our prior knowledge or consent. Certain foreign exchanges may have less stringent listing requirements, rules and enforcement procedures than the Nasdaq Global Market or other markets in the U.S., and this may increase the potential for manipulative trading practices to occur on such foreign exchanges. These practices, or the perception by investors that such practices could occur, may increase the volatility of our stock price or result in a decline in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raise additional capital or obtain additional financing if needed.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possible our cash from operations could become insufficient to meet our working capital needs and/or to implement our business strategies. In such an event, there can be no assurance our existing domestic and Swiss lines of credit would be sufficient to meet our working capital needs. Furthermore, if we fail to maintain certain loan covenants, we may no longer have access to our credit lines. Under the terms of our domestic credit facility, there are limits on our ability to create, incur or assume additional indebtedness without the approval of our lender. Our domestic credit line terminates on May 18, 2029 and there is no guarantee we will be able to extend or renew this credit line on favorable terms or at all. Although our Swiss line of credit is subject to an indefinite term, the lender reserves the right to refuse utilization of the credit facility without termination of the credit agreement in the event of a change 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18, 2026, we entered into a new domestic credit facility with Legacy. The new credit facility includes a fixed charge coverage ratio covenant requirement as defined in the Loan and Security Agreement that is based on only domestic operations and will first be measured for the nine months ending September 30, 2026. We anticipate we will not be able to comply with the covenant required under the Loan and Security Agreement as of September 30, 2026 due to one of our largest customer's material downward revisions to their forecast of projected orders and purchases from us during our fiscal year 2027. We have informed Legacy of our pending non-compliance with the fixed charge coverage ratio, and there is no assurance that a waiver, amendment, or remedy will be available or what the difference in amount, cost or other factors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consider issuing additional debt or equity securities in the future to fund potential acquisitions or investments, to refinance existing debt, or for general corporate purposes. If we issue equity or convertible debt securities to raise additional funds, our existing stockholders may experience dilution, and the new equity or debt securities may have rights, preferences and privileges senior to those of our existing stockholders. If we incur additional debt, it may increase our leverage relative to our earnings or to our equity capitalization, requiring us to pay additional interest expenses and potentially lowering our credit ratings. At any given time, it could be difficult for us to raise capital due to a variety of factors, some of which may be outside of our control, including a tightening of credit markets, overall poor performance of stock markets, and/or an economic slowdown in the U.S. or other countries, or in the businesses of our customers. There is no assurance we would be able to market such security issuances on favorable terms, or at all, in which case, if we did not have any alternate funds, we might not be able to develop or enhance our products, execute our business plan, take advantage of future opportunities, respond to competitive pressures or meet unanticipated customer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were unable to raise additional capital or to obtain additional financing when we want to or need to, that could negatively affect our ability to implement our business strategies and meet our goals. This, in turn, could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sz w:val="20"/>
        </w:rPr>
      </w:pPr>
      <w:bookmarkStart w:id="7" w:name="item1c"/>
      <w:bookmarkEnd w:id="7"/>
      <w:r>
        <w:rPr>
          <w:rFonts w:ascii="Times New Roman;Times;serif" w:hAnsi="Times New Roman;Times;serif"/>
          <w:b/>
          <w:caps/>
          <w:sz w:val="20"/>
        </w:rPr>
        <w:t>Item 1C. Cybersecurity</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part of our overall enterprise risk management function, we have implemented and currently maintain various information security processes designed to identify, assess and manage material risks related to information technology, including cybersecurity threats to our critical computer networks, </w:t>
      </w:r>
      <w:r>
        <w:rPr>
          <w:rStyle w:val="Emphasis"/>
          <w:rFonts w:ascii="Times New Roman" w:hAnsi="Times New Roman"/>
          <w:caps w:val="false"/>
          <w:smallCaps w:val="false"/>
          <w:sz w:val="20"/>
        </w:rPr>
        <w:t>third</w:t>
      </w:r>
      <w:r>
        <w:rPr>
          <w:rFonts w:ascii="Times New Roman" w:hAnsi="Times New Roman"/>
          <w:caps w:val="false"/>
          <w:smallCaps w:val="false"/>
          <w:sz w:val="20"/>
        </w:rPr>
        <w:t>-party hosted services, and our critical data, (“Information Systems”). Our Information Systems risk management process evaluates and mitigates cybersecurity risks in alignment with our business objectives and operational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periodically engage third-party consultants and service providers to obtain an independent assessment regarding internal efforts to prevent threats to our Information Systems. Continuous vigilance over safeguarding the Company’s Information Systems has resulted in our current approach and these assessments are shared with our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To mitigate the occurrence of an incident as defined by the Company’s formal documentation, which classifies and defines the properties of potential threats, the Company has in place a host of defenses which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use of gateway consoles in all our global locations, limited access to key Information Systems from in-office networks or VPN with multi-factor authentication by means of a third-party mobile identity management tool to limit access to authorized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manage potential cybersecurity threats, we have established an Incident Response Plan that is designed to control the internal workflow of a reported incident. This plan formalizes incidence response stages such that reporting, identification, scope, response, and recovery are executed in a timely manner and identifies the order and coordination of internal and external communication. In addition, the Company addresses crisis management and business continuity with respect to Information Systems to ensure reliable redundancy and recovery of backed-up databases.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Management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material security breaches on its Information Systems and risks from cybersecurity threats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materially affected us. Certain of our vendors have experienced cyberattacks in the past and the threat and development of cyberattacks is continuous. It is impossible to say with certainty whether the Company’s efforts will prevail in a coordinated attack on its Information Systems. Currently, we expect the risks from cybersecurity threats will continue, but are not reasonably likely to materially affect us mostly due to our profile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because our defenses are impenetrable or the efforts of criminals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become more sophisticated. A cybersecurity attack on our Information Systems could have a material negative impact upon our business, results of operations or financial condition. For additional information about cybersecurity risks, see Item </w:t>
      </w:r>
      <w:r>
        <w:rPr>
          <w:rStyle w:val="Emphasis"/>
          <w:rFonts w:ascii="Times New Roman" w:hAnsi="Times New Roman"/>
          <w:caps w:val="false"/>
          <w:smallCaps w:val="false"/>
          <w:sz w:val="20"/>
        </w:rPr>
        <w:t>1A.</w:t>
      </w:r>
      <w:r>
        <w:rPr>
          <w:rFonts w:ascii="Times New Roman" w:hAnsi="Times New Roman"/>
          <w:caps w:val="false"/>
          <w:smallCaps w:val="false"/>
          <w:sz w:val="20"/>
        </w:rPr>
        <w:t xml:space="preserve">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Role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of our Board of Directors (the “Board”) has the responsibility for the oversight of risk management, including those risks related to cybersecurity. The Board holds strategic planning sessions with senior management to discuss strategies, key challenges, risks and opportunities for mitigation. The involvement of our Board in setting our business strategy is a key part of its oversight of risk management, its assessment of management’s appetite for risk, and its determination of what constitutes an appropriate level of risk for us. Our senior management attends meetings of our Board and its committees, communicates with the Board and its members regularly between Board meetings, and as otherwise needed, are available to address any questions or concerns raised by our Board on risk management and any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Role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Our senior management, with the oversight of the Board, is responsible for the day-to-day management of the material risks the Company faces, including those related to cybersecurity. We believe it is important to work at all levels of the Company’s hierarchy to manage cybersecurity risks and threats. Therefore, all users must use an online IT ticketing system, which is monitored around the clock, to report any incidents. Qualified individuals in IT determine what resources to allocate to each case and escalation of an incident, if deemed necessary. The Systems Administrators and IT Director, who has more than 19 years of experience with the Company architecting, managing, and securing enterprise databases, systems automation, and ERP environments, communicates on a day-to-day basis with the President who would bring any material cybersecurity issues to the attention of the Company’s Chief Executive Officer, the Audit Committee, and the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8" w:name="i2"/>
      <w:bookmarkEnd w:id="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table summarizes our facilities as of June 30, 2026. We believe our facilities are adequate to meet our operating requirements for the foreseeable future.</w:t>
      </w:r>
    </w:p>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1880"/>
        <w:gridCol w:w="60"/>
        <w:gridCol w:w="4655"/>
        <w:gridCol w:w="60"/>
        <w:gridCol w:w="60"/>
        <w:gridCol w:w="695"/>
        <w:gridCol w:w="60"/>
        <w:gridCol w:w="860"/>
        <w:gridCol w:w="60"/>
        <w:gridCol w:w="129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Lease</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Square</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Expiration</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465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Nature of Use</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Feet</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How Held</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Vista, CA USA(1),(2)</w:t>
            </w:r>
          </w:p>
        </w:tc>
        <w:tc>
          <w:tcPr>
            <w:tcW w:w="60" w:type="dxa"/>
            <w:tcBorders/>
            <w:shd w:fill="CCEEFF" w:val="clear"/>
            <w:vAlign w:val="center"/>
          </w:tcPr>
          <w:p>
            <w:pPr>
              <w:pStyle w:val="TableContents"/>
              <w:bidi w:val="0"/>
              <w:spacing w:before="0" w:after="283"/>
              <w:ind w:left="0" w:right="0" w:hanging="0"/>
              <w:jc w:val="left"/>
              <w:rPr/>
            </w:pPr>
            <w:r>
              <w:rPr/>
              <w:t> </w:t>
            </w:r>
          </w:p>
        </w:tc>
        <w:tc>
          <w:tcPr>
            <w:tcW w:w="465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Manufacturing, warehousing, packaging and distribution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162,000</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2034</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Manno, Switzerland(3)</w:t>
            </w:r>
          </w:p>
        </w:tc>
        <w:tc>
          <w:tcPr>
            <w:tcW w:w="60" w:type="dxa"/>
            <w:tcBorders/>
            <w:shd w:fill="FFFFFF" w:val="clear"/>
            <w:vAlign w:val="center"/>
          </w:tcPr>
          <w:p>
            <w:pPr>
              <w:pStyle w:val="TableContents"/>
              <w:bidi w:val="0"/>
              <w:spacing w:before="0" w:after="283"/>
              <w:ind w:left="0" w:right="0" w:hanging="0"/>
              <w:jc w:val="left"/>
              <w:rPr/>
            </w:pPr>
            <w:r>
              <w:rPr/>
              <w:t> </w:t>
            </w:r>
          </w:p>
        </w:tc>
        <w:tc>
          <w:tcPr>
            <w:tcW w:w="465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Manufacturing, warehousing, packaging and distribution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85,070</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2032</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Manno, Switzerland(4)</w:t>
            </w:r>
          </w:p>
        </w:tc>
        <w:tc>
          <w:tcPr>
            <w:tcW w:w="60" w:type="dxa"/>
            <w:tcBorders/>
            <w:shd w:fill="CCEEFF" w:val="clear"/>
            <w:vAlign w:val="center"/>
          </w:tcPr>
          <w:p>
            <w:pPr>
              <w:pStyle w:val="TableContents"/>
              <w:bidi w:val="0"/>
              <w:spacing w:before="0" w:after="283"/>
              <w:ind w:left="0" w:right="0" w:hanging="0"/>
              <w:jc w:val="left"/>
              <w:rPr/>
            </w:pPr>
            <w:r>
              <w:rPr/>
              <w:t> </w:t>
            </w:r>
          </w:p>
        </w:tc>
        <w:tc>
          <w:tcPr>
            <w:tcW w:w="465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Warehousing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30,892</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December 2026</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Carlsbad, CA USA(5)</w:t>
            </w:r>
          </w:p>
        </w:tc>
        <w:tc>
          <w:tcPr>
            <w:tcW w:w="60" w:type="dxa"/>
            <w:tcBorders/>
            <w:shd w:fill="FFFFFF" w:val="clear"/>
            <w:vAlign w:val="center"/>
          </w:tcPr>
          <w:p>
            <w:pPr>
              <w:pStyle w:val="TableContents"/>
              <w:bidi w:val="0"/>
              <w:spacing w:before="0" w:after="283"/>
              <w:ind w:left="0" w:right="0" w:hanging="0"/>
              <w:jc w:val="left"/>
              <w:rPr/>
            </w:pPr>
            <w:r>
              <w:rPr/>
              <w:t> </w:t>
            </w:r>
          </w:p>
        </w:tc>
        <w:tc>
          <w:tcPr>
            <w:tcW w:w="465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Corporate headquarters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20,981</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Owned</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N/A</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Carlsbad, CA USA(6)</w:t>
            </w:r>
          </w:p>
        </w:tc>
        <w:tc>
          <w:tcPr>
            <w:tcW w:w="60" w:type="dxa"/>
            <w:tcBorders/>
            <w:shd w:fill="CCEEFF" w:val="clear"/>
            <w:vAlign w:val="center"/>
          </w:tcPr>
          <w:p>
            <w:pPr>
              <w:pStyle w:val="TableContents"/>
              <w:bidi w:val="0"/>
              <w:spacing w:before="0" w:after="283"/>
              <w:ind w:left="0" w:right="0" w:hanging="0"/>
              <w:jc w:val="left"/>
              <w:rPr/>
            </w:pPr>
            <w:r>
              <w:rPr/>
              <w:t> </w:t>
            </w:r>
          </w:p>
        </w:tc>
        <w:tc>
          <w:tcPr>
            <w:tcW w:w="465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Powder filling, packaging, distribution and storage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67,453</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Owned</w:t>
            </w:r>
          </w:p>
        </w:tc>
        <w:tc>
          <w:tcPr>
            <w:tcW w:w="60"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N/A</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245"/>
        <w:gridCol w:w="653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facility is used by NAI for its private-label contract manufacturing segment.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this facility we use approximately 93,000 square feet for production, 60,000 square feet for warehousing and 9,000 square feet for administrative functions. In July 2023, NAI executed an Amendment to the Lease covering this facility. The Amendment, effective April 1, 2024, extended the Lease through August 31, 2034.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facility is used by NAIE in connection with our private-label contract manufacturing segment. In May 2022, NAIE executed an Amendment to the Lease covering this facility that became effective January 1, 2023 and extended the Lease through December 31, 2032.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7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facility is used by NAIE for additional warehouse storage. On June 9, 2026, NAIE provided notification of terminating this lease effective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purchased our Carlsbad, California corporate headquarters in March 2016. This asset is classified as held for sale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acquired this facility in August 2021 and retrofitted it into a dedicated high-volume powder blending and packaging facility with supplementary raw material storage. This facility became operational in April 2023. The Board of Directors also approved management to sell this facility which is a more specialized property, and we anticipate may not be sold quickly.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9" w:name="i3"/>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become involved in various investigations, claims and legal proceedings that arise in the ordinary course of our business. These matters may relate to intellectual property, product liability, employment,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and sometimes a matter is subsequently determined to be of greater risk. Based on available information, we generally do not believe the resolution of these matters, even if unfavorable, will result in a material adverse effect on our business, consolidated financial condition, or results of operations and the price of our common stock. Our evaluation of the likely impact of these actions could change in the future, routinely do change, and we could have unfavorable outcomes we do not expect. An unexpected settlement expense or an unexpected unfavorable outcome of a matter could adversely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we were sued by three former employees in two separate, but substantially identical matters brought by the same law firm. The lawsuits were filed as a putative class action and a Private Attorney General Act ("PAGA") action seeking awards for all similarly situated employees going back ten years or more. We responded to these actions and agreed to submit the matters for mediation. On July 3, 2025, the mediation took place, and a tentative settlement agreement was reached whereby we agreed to contribute a maximum of $1.25 million. The court has consolidated the two actions. The settlement was brought before the court and an attempt to contact all similarly situated employees was made for them to participate at their discretion. The court agreed to the settlement. Payment was remitted in the first quarter of fiscal year 2027, and final court approval and termination of the proceedings is expected to take place in February 2027. We accrued the maximum settlement amount in our results of operations as of June 30, 2025, along with estimated related legal fees of approximately $150,000. During the year ended June 30, 2026, we accrued additional estimated related legal fees of $44,000.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28, 2026 with exception of these two consolidated matters, neither NAI nor NAIE were a party to any material pending legal proceeding nor was any of our property the subject of any material pending legal proceeding. At any given time, we may be involved in one or more matters in the ordinary course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no assurance NAI will prevail in any litigation matters or that litigation expenses will not be greater than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0" w:name="i4"/>
      <w:bookmarkEnd w:id="10"/>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 w:name="p2"/>
      <w:bookmarkEnd w:id="11"/>
      <w:r>
        <w:rPr>
          <w:rFonts w:ascii="Times New Roman" w:hAnsi="Times New Roman"/>
          <w:b/>
          <w:caps w:val="false"/>
          <w:smallCaps w:val="false"/>
          <w:sz w:val="20"/>
        </w:rPr>
        <w:t xml:space="preserve">PART 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i5"/>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 MARKET FOR OUR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Market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common stock trades on the Nasdaq Global Market under the symbol “NAII.” Below are the high and low sales prices of our common stock as reported on the Nasdaq Global Market for each quarter of the fiscal years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3765" w:type="dxa"/>
        <w:jc w:val="left"/>
        <w:tblInd w:w="0" w:type="dxa"/>
        <w:tblLayout w:type="fixed"/>
        <w:tblCellMar>
          <w:top w:w="0" w:type="dxa"/>
          <w:left w:w="0" w:type="dxa"/>
          <w:bottom w:w="0" w:type="dxa"/>
          <w:right w:w="0" w:type="dxa"/>
        </w:tblCellMar>
      </w:tblPr>
      <w:tblGrid>
        <w:gridCol w:w="1265"/>
        <w:gridCol w:w="60"/>
        <w:gridCol w:w="125"/>
        <w:gridCol w:w="380"/>
        <w:gridCol w:w="60"/>
        <w:gridCol w:w="60"/>
        <w:gridCol w:w="125"/>
        <w:gridCol w:w="380"/>
        <w:gridCol w:w="60"/>
        <w:gridCol w:w="60"/>
        <w:gridCol w:w="125"/>
        <w:gridCol w:w="380"/>
        <w:gridCol w:w="60"/>
        <w:gridCol w:w="60"/>
        <w:gridCol w:w="125"/>
        <w:gridCol w:w="380"/>
        <w:gridCol w:w="60"/>
      </w:tblGrid>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2025</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Low</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Low</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First Quarter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Second Quarter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Third Quarter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Fourth Quarter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w:t>
      </w:r>
      <w:r>
        <w:rPr>
          <w:rFonts w:ascii="Times New Roman" w:hAnsi="Times New Roman"/>
          <w:caps w:val="false"/>
          <w:smallCaps w:val="false"/>
          <w:sz w:val="20"/>
          <w:shd w:fill="FFFFFF" w:val="clear"/>
        </w:rPr>
        <w:t xml:space="preserve"> of September 23, </w:t>
      </w:r>
      <w:r>
        <w:rPr>
          <w:rFonts w:ascii="Times New Roman" w:hAnsi="Times New Roman"/>
          <w:caps w:val="false"/>
          <w:smallCaps w:val="false"/>
          <w:sz w:val="20"/>
        </w:rPr>
        <w:t>2026</w:t>
      </w:r>
      <w:r>
        <w:rPr>
          <w:rFonts w:ascii="Times New Roman" w:hAnsi="Times New Roman"/>
          <w:caps w:val="false"/>
          <w:smallCaps w:val="false"/>
          <w:sz w:val="20"/>
          <w:shd w:fill="FFFFFF" w:val="clear"/>
        </w:rPr>
        <w:t>, there were </w:t>
      </w:r>
      <w:r>
        <w:rPr>
          <w:rFonts w:ascii="Times New Roman" w:hAnsi="Times New Roman"/>
          <w:caps w:val="false"/>
          <w:smallCaps w:val="false"/>
          <w:sz w:val="20"/>
        </w:rPr>
        <w:t>166</w:t>
      </w:r>
      <w:r>
        <w:rPr>
          <w:rFonts w:ascii="Times New Roman" w:hAnsi="Times New Roman"/>
          <w:caps w:val="false"/>
          <w:smallCaps w:val="false"/>
          <w:sz w:val="20"/>
          <w:shd w:fill="FFFFFF" w:val="clear"/>
        </w:rPr>
        <w:t> stockholders of record of our common stock. On that same date, the last sales price of our common stock as reported on NASDAQ was </w:t>
      </w:r>
      <w:r>
        <w:rPr>
          <w:rFonts w:ascii="Times New Roman" w:hAnsi="Times New Roman"/>
          <w:caps w:val="false"/>
          <w:smallCaps w:val="false"/>
          <w:sz w:val="20"/>
        </w:rPr>
        <w:t>$1.85</w:t>
      </w:r>
      <w:r>
        <w:rPr>
          <w:rFonts w:ascii="Times New Roman" w:hAnsi="Times New Roman"/>
          <w:caps w:val="false"/>
          <w:smallCaps w:val="false"/>
          <w:sz w:val="20"/>
          <w:shd w:fill="FFFFFF" w:val="clear"/>
        </w:rPr>
        <w:t> per s</w:t>
      </w:r>
      <w:r>
        <w:rPr>
          <w:rFonts w:ascii="Times New Roman" w:hAnsi="Times New Roman"/>
          <w:caps w:val="false"/>
          <w:smallCaps w:val="false"/>
          <w:sz w:val="20"/>
        </w:rPr>
        <w:t>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Dividends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never paid a dividend on our common stock, and we do not intend to pay a dividend in the foreseeable future. Our current policy is to retain all earnings to provide funds for operations and future growth. Additionally, under the terms of our domestic credit facility, we are precluded from paying a dividend while such facility is in place without a waiver from our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 Sales of Unregistered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fiscal year ended June 30, 2026, we did not sell any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Repurchases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fiscal year ended June 30, 2026, we did not repurchase any shares of our common stock other than shares acquired from employees in exchange for our paying their withholding requirements upon vesting of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information regarding outstanding options and shares reserved for future issuance under our existing equity compensation plans as of June 30, 2026:</w:t>
      </w:r>
    </w:p>
    <w:p>
      <w:pPr>
        <w:pStyle w:val="TextBody"/>
        <w:bidi w:val="0"/>
        <w:spacing w:before="0" w:after="0"/>
        <w:ind w:left="0" w:right="0" w:hanging="0"/>
        <w:jc w:val="left"/>
        <w:rPr>
          <w:caps w:val="false"/>
          <w:smallCaps w:val="false"/>
        </w:rPr>
      </w:pPr>
      <w:r>
        <w:rPr>
          <w:caps w:val="false"/>
          <w:smallCaps w:val="false"/>
        </w:rPr>
        <w:t> </w:t>
      </w:r>
    </w:p>
    <w:tbl>
      <w:tblPr>
        <w:tblW w:w="8406" w:type="dxa"/>
        <w:jc w:val="left"/>
        <w:tblInd w:w="0" w:type="dxa"/>
        <w:tblLayout w:type="fixed"/>
        <w:tblCellMar>
          <w:top w:w="0" w:type="dxa"/>
          <w:left w:w="0" w:type="dxa"/>
          <w:bottom w:w="0" w:type="dxa"/>
          <w:right w:w="0" w:type="dxa"/>
        </w:tblCellMar>
      </w:tblPr>
      <w:tblGrid>
        <w:gridCol w:w="4700"/>
        <w:gridCol w:w="60"/>
        <w:gridCol w:w="248"/>
        <w:gridCol w:w="808"/>
        <w:gridCol w:w="60"/>
        <w:gridCol w:w="60"/>
        <w:gridCol w:w="341"/>
        <w:gridCol w:w="714"/>
        <w:gridCol w:w="60"/>
        <w:gridCol w:w="60"/>
        <w:gridCol w:w="97"/>
        <w:gridCol w:w="1138"/>
        <w:gridCol w:w="60"/>
      </w:tblGrid>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Available</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Future</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Issuance</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 Equity</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Upon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Plans</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(Excluding</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Reflected in</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Column</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Plan Category</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Rights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Rights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Equity compensation plans approved by stockholders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561,877</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Equity compensation plans not approved by stockholders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N/A</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561,877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6"/>
      <w:bookmarkEnd w:id="13"/>
      <w:r>
        <w:rPr>
          <w:rFonts w:ascii="Times New Roman" w:hAnsi="Times New Roman"/>
          <w:b/>
          <w:caps w:val="false"/>
          <w:smallCaps w:val="false"/>
          <w:sz w:val="20"/>
        </w:rPr>
        <w:t>ITEM 6. SELECTED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Item 6 disclosure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i7"/>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discussion and analysis is intended to help you understand our financial condition and results of operations as of our fiscal years ending June 30, 2026 and 2025. You should read the following discussion and analysis together with our audited consolidated financial statements and the notes to the consolidated financial statements included under Item 8 in this report. Our future financial condition and results of operations will vary from our historical financial condition and results of operations described below based on a variety of factors. You should carefully review the risks described under Item 1A and elsewhere in this report, which identify certain important factors that could cause our future financial condition and results of operations to vary.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Executive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following overview does not address all of the matters covered in the other sections of this Item</w:t>
      </w:r>
      <w:r>
        <w:rPr>
          <w:rFonts w:ascii="Times New Roman" w:hAnsi="Times New Roman"/>
          <w:caps w:val="false"/>
          <w:smallCaps w:val="false"/>
          <w:sz w:val="20"/>
        </w:rPr>
        <w:t> </w:t>
      </w:r>
      <w:r>
        <w:rPr>
          <w:rFonts w:ascii="Times New Roman" w:hAnsi="Times New Roman"/>
          <w:i/>
          <w:caps w:val="false"/>
          <w:smallCaps w:val="false"/>
          <w:sz w:val="20"/>
        </w:rPr>
        <w:t>7 or other items in this report or contain all of the information that may be important to our stockholders or the investing public. You should read this overview in conjunction with the other sections of this Item</w:t>
      </w:r>
      <w:r>
        <w:rPr>
          <w:rFonts w:ascii="Times New Roman" w:hAnsi="Times New Roman"/>
          <w:caps w:val="false"/>
          <w:smallCaps w:val="false"/>
          <w:sz w:val="20"/>
        </w:rPr>
        <w:t> </w:t>
      </w:r>
      <w:r>
        <w:rPr>
          <w:rFonts w:ascii="Times New Roman" w:hAnsi="Times New Roman"/>
          <w:i/>
          <w:caps w:val="false"/>
          <w:smallCaps w:val="false"/>
          <w:sz w:val="20"/>
        </w:rPr>
        <w:t xml:space="preserve">7, the financial statements and accompanying notes, and this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business activity is providing private-label contract manufacturing services to companies that market and distribute vitamins, minerals, herbal and other nutritional supplements, as well as other health care products, to consumers both within and outside the U.S. Historically, our revenue has been largely dependent on sales to two or three private-label contract manufacturing customers and subject to variations in the timing of such customers’ orders, which in turn is impacted by such customers’ internal marketing programs, supply chain management, entry into new markets, new product introductions, the demand for such customers’ products, and general industry and economic conditions. Our revenue also includes raw material sales, royalty and licensing revenue generated from our patent estate pursuant to license and supply agreements with third parties for the distribution and use of the ingredient known as beta-alanine sold under our CarnoSyn®, SR CarnoSyn®, CarnoSyn® 4X and TriBsyn®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cornerstone of our business strategy is to achieve long-term growth and profitability and to diversify our sales base. We have sought and expect to continue to seek to diversify our sales by developing relationships with additional, quality-oriented, private-label contract manufacturing customers, and commercializing our patent estate through sales of beta-alanine under our CarnoSyn®, SR CarnoSyn®, CarnoSyn® 4X and TriBsyn® trademarks, royalties from license agreements, and potentially additional contract manufacturing opportunities with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2026, our consolidated net sales were 10% higher than in fiscal 2025. Private-label contract manufacturing net sales increased 11% primarily due to increased orders from one of our largest customers and several of our other existing customers, partially offset by reduced orders from other existing customers. Revenue concentration from our largest private-label contract manufacturing customer as a percentage of our total net sales was 28% in fiscal 2026, and revenue concentration from our largest private-label contract manufacturing customer as a percentage of total net sales in fiscal 2025 was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2026, patent and trademark licensing revenue decreased 2% to $7.9 million as compared to $8.1 million for fiscal 2025. The decrease in patent and trademark licensing revenue was primarily due to a decrease in beta-alanine-based material sales from existing customers, partially offset by increased orders of other raw material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continue to invest in research and development to expand our CarnoSyn® Brands product portfolio. In August 2024, we announced a new product called TriBsyn®, a clinically supported carnosine booster designed for daily wellness that delivers more than four times the bioavailability of standard beta-alanine without the paresthesia commonly associated with traditional formulations. We believe TriBsyn® and its patent-pending formulation will enable us to better penetrate the Wellness and Healthy Aging market. On April 20, 2026, we launched CarnoSyn® 4X, which utilizes the same microencapsulation technology as TriBsyn® and is specifically positioned for the Sports Nutrition market. On May 4, 2026, we announced expanded market applications for TriBsyn®, unlocking new opportunities across the beverage, dairy, and medical nutrition categories. With these expanded capabilities, TriBsyn® is well suited for ready-to-drink beverages, protein drinks, dairy-based products, gummies, and medical nutrition applications. Both CarnoSyn® 4X and TriBsyn® combine CarnoSyn® beta-alanine with proprietary technology to enhance beta-alanine bioavailability and absorption while effectively eliminating beta-alanine-related paresthesia. Available as raw material powders, they provide formulation flexibility for our customers. By eliminating paresthesia while maintaining an efficacious dosage, these products create new opportunities to reach previously untapped market segments, including older adults, vegetarians, and vegans. We believe our continued efforts to refine our formulations and expand our product portfolio will be well received and create significant opportunities to increase sales of our patented and patent-pending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protect and grow our CarnoSyn® product offerings, we incurred patent compliance expenses of approximately $0.4 million during fiscal 2026 and fiscal 2025. Our legal expense associated with our CarnoSyn® business has remained relatively low as we have no related active litigation, and the current run-rate of expenses is primarily related to maintenance and expansion of our patent and trademark estate. Our ability to maintain or further increase our beta-alanine royalty and licensing revenue will depend in large part on our ability to expand the market for our sustained release form of beta-alanine marketed under our SR CarnoSyn® trademark and our new beta-alanine product marketed under our TriBsyn® and CarnoSyn® 4X trademarks, maintain our patent rights, the availability and the cost of the raw material when and in the amounts needed, the ability to expand distribution of beta-alanine to new and existing customers, and continued compliance by third parties with our license agreements and our patent, trademark and other intellectual property rights. During fiscal 2027, we will continue our sales and marketing activities to consumers, customers, potential customers, and brand owners on multiple platforms to promote and reinforce the features and benefits of utilizing CarnoSyn®, SR CarnoSyn®, CarnoSyn® 4X and TriBsyn® beta-alanine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we grew our net sales during fiscal 2026, we experienced a loss during fiscal 2026 that was primarily due to underutilization of our available factory capacities which also led to an impairment charge of one of our facilities and related assets. The growth in net sales is primarily related to increased existing private label contract manufacturing customer sales that also drove improved factory utilization, partially offset by a decrease in patent and trademark licensing net sales. Selling, general and administrative expenses during fiscal 2026 increased as compared to fiscal 2025 primarily due to a reserve allowance recorded on the final Employee Retention Tax Credit claim as we no longer believe we will be able to collect this remaining amount without substantial legal fees, an increase in advertising expense to promote our CarnoSyn® 4X and TriBsyn® product offerings, and an increase in compensation expense related to increased headcount required to support the growth in sales, partially offset by a settlement associated with a class action claim recorded during fiscal 2025. Consolidated net loss during fiscal 2026 increased primarily due to the recognition of a non-cash impairment charge of $10.4 million to write down property and equipment to reflect the lower of their estimated fair values or carrying amount as of June 30, 2026. Although our overall sales forecast for fiscal 2027 includes an expected increase in sales as compared to fiscal 2026, we currently anticipate we will experience a net loss for fiscal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During fiscal 2027, we plan to continue our focus on</w:t>
      </w:r>
      <w:r>
        <w:rPr>
          <w:rFonts w:ascii="Times New Roman;Times;serif" w:hAnsi="Times New Roman;Time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Leveraging our state-of-the-art, certified facilities to increase the value of the goods and services we provide to our highly valued private-label contract manufacturing customers, and developing relationships with additional quality-oriented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Expanding the commercialization of our beta-alanine patent and trademark estate in Sports Nutrition, Wellness and Healthy Aging and Medical food channels with our CarnoSyn®, SR CarnoSyn®, CarnoSyn® 4X and TriBsyn® beta-alanine product lines; exploiting new contract manufacturing opportunities, license and royalty agreements, and protecting our proprietary rights;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Consolidating our facilities and factories to improve operational efficiencies and manage costs and business risks to improve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Discussion of Critical Accounting Estimates</w:t>
      </w:r>
      <w:r>
        <w:rPr>
          <w:rFonts w:ascii="Times New Roman;Times;serif" w:hAnsi="Times New Roman;Time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identified the following as our most critical accounting estimates, which are those that are most important to the portrayal of our financial condition and results, and that require management’s most subjective and complex judgments. Information regarding our other significant accounting estimates and policies is disclosed in Note A of Item 8, Organization and Summary of Significant Accounting Policies, of the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Impairment Loss — During fiscal 2026 in our Private-label contract manufacturing segment, we observed a decline in the fair value of our manufacturing facility we own in Carlsbad, California compared to its carrying value, negative cash flow results from operating activities in fiscal years 2026 and 2024, an adverse change in the business climate as a result of one of our largest customer's downward revisions of forecasted orders, and expected negative cash flow results for fiscal year 2027. These factors indicated the carrying value of certain long-lived assets might not be fully recoverable. Consequently, we performed an evaluation of the recoverability of this asset group. Based on this evaluation, we determined the carrying amount of our manufacturing facility in Carlsbad, California exceeded the projected undiscounted future cash flows from that facility. Accordingly, we determined an impairment loss due to the carrying value of this asset group as of June 30, 2026 being in excess of the sum of expected cash flows over the forecasted useful life of the facility subject to fair value limitations. As a result, we recognized a non-cash impairment charge of $10.4 million presented as a separate line item, </w:t>
      </w:r>
      <w:r>
        <w:rPr>
          <w:rFonts w:ascii="Times New Roman;Times;serif" w:hAnsi="Times New Roman;Times;serif"/>
          <w:i/>
          <w:caps w:val="false"/>
          <w:smallCaps w:val="false"/>
          <w:sz w:val="20"/>
        </w:rPr>
        <w:t>Impairment loss</w:t>
      </w:r>
      <w:r>
        <w:rPr>
          <w:rFonts w:ascii="Times New Roman;Times;serif" w:hAnsi="Times New Roman;Times;serif"/>
          <w:caps w:val="false"/>
          <w:smallCaps w:val="false"/>
          <w:sz w:val="20"/>
        </w:rPr>
        <w:t>, on the consolidated statements of operations and comprehensive loss to write down property and equipment, to reflect the lower of their estimated fair values or carrying amounts as of June 30, 2026. This charge significantly increased our operating loss for fiscal year 2026 but had no immediate impact on our cash position or liquidity. For estimates of fair values, we relied on significant unobservable inputs categorized as Level 3 within the fair value hierarchy such as third-party real estate experts for building and land fair values as of June 5, 2026, and a third-party appraiser's report for Machinery and Equipment as of January 28, 2026, which we received as part of our debt refinancing in May 2026 and do not represent fair values as of June 30, 2026. It is possible the assumptions and underlying estimates used to determine the fair value of this asset group will change in the future, and such changes could result in a material difference from the impairment loss recognized in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Recognition — Revenue is measured as the net amount of consideration expected to be received in exchange for fulfilling one or more performance obligations. For certain contracts with volume rebates, our estimates of future sales used to assess the volume rebate estimates are subject to a high degree of judgement and may differ from actual sales due to, among other things, changes in customer orders and raw material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selected consolidated operating results for each of the last two fiscal years, presented as a percentage of net sales (dollars in thousands).</w:t>
      </w:r>
    </w:p>
    <w:p>
      <w:pPr>
        <w:pStyle w:val="TextBody"/>
        <w:bidi w:val="0"/>
        <w:spacing w:before="0" w:after="0"/>
        <w:ind w:left="0" w:right="0" w:hanging="0"/>
        <w:jc w:val="left"/>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4445"/>
        <w:gridCol w:w="60"/>
        <w:gridCol w:w="125"/>
        <w:gridCol w:w="695"/>
        <w:gridCol w:w="80"/>
        <w:gridCol w:w="60"/>
        <w:gridCol w:w="60"/>
        <w:gridCol w:w="335"/>
        <w:gridCol w:w="245"/>
        <w:gridCol w:w="60"/>
        <w:gridCol w:w="125"/>
        <w:gridCol w:w="695"/>
        <w:gridCol w:w="80"/>
        <w:gridCol w:w="60"/>
        <w:gridCol w:w="60"/>
        <w:gridCol w:w="335"/>
        <w:gridCol w:w="245"/>
        <w:gridCol w:w="60"/>
        <w:gridCol w:w="145"/>
        <w:gridCol w:w="759"/>
        <w:gridCol w:w="93"/>
        <w:gridCol w:w="70"/>
        <w:gridCol w:w="70"/>
        <w:gridCol w:w="531"/>
        <w:gridCol w:w="245"/>
      </w:tblGrid>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 Ended</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center"/>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Increase (Decrease)</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Private-label contract manufacturing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Patent and trademark licensing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9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12,655</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12,947</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selling, general &amp;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Impairment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10,409</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Settlement of legal proceeding and associated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(1,356</w:t>
            </w:r>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w:t>
            </w:r>
          </w:p>
        </w:tc>
        <w:tc>
          <w:tcPr>
            <w:tcW w:w="2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(10,092</w:t>
            </w:r>
          </w:p>
        </w:tc>
        <w:tc>
          <w:tcPr>
            <w:tcW w:w="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(9,525</w:t>
            </w:r>
          </w:p>
        </w:tc>
        <w:tc>
          <w:tcPr>
            <w:tcW w:w="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(2,405</w:t>
            </w:r>
          </w:p>
        </w:tc>
        <w:tc>
          <w:tcPr>
            <w:tcW w:w="9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(7,120</w:t>
            </w:r>
          </w:p>
        </w:tc>
        <w:tc>
          <w:tcPr>
            <w:tcW w:w="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(NM) Not meaningful as base is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Private-label contract manufacturing sales increased 11% primarily due to increased orders from one of our largest customers and shipments to existing customers, partially offset by lower sales from other existing customers. Revenue concentration from our largest private-label contract manufacturing customer as a percentage of our total net sales was 28% in fiscal 2026, and revenue concentration from our largest private-label contract manufacturing customer as a percentage of total net sales in fiscal 2025 was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from our patent and trademark licensing segment decreased 2% during fiscal 2026. The decrease in patent and trademark licensing revenue was primarily due to a decrease in beta-alanine-based material sales from existing customers, partially offset by increased orders of other raw material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change in gross profit margin for the year ended June 30, 2026, was as follows:</w:t>
      </w:r>
    </w:p>
    <w:p>
      <w:pPr>
        <w:pStyle w:val="TextBody"/>
        <w:bidi w:val="0"/>
        <w:spacing w:before="0" w:after="0"/>
        <w:ind w:left="0" w:right="0" w:hanging="0"/>
        <w:jc w:val="left"/>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2870"/>
        <w:gridCol w:w="60"/>
        <w:gridCol w:w="146"/>
        <w:gridCol w:w="819"/>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Contract manufacturing (1)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Patent and trademark licensing (2)</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change in gross profit margin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Private-label contract manufacturing gross profit margin contribution decreased 0.1 percentage points in fiscal 2026 as compared to fiscal 2025. The decrease in gross profit as a percentage of net sales for private-label contract manufacturing is primarily related to an unfavorable shift in product sales mix, increased manufacturing costs and a reserve allowance placed on the remaining Employee Retention Tax Credit receivable balance of $0.8 million charged to cost of goods sold, net of associated fees and taxes, partially offset by an increase in sales volume which decreased our capacity underutilization, along with favorable foreign currency exchange rate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During fiscal 2026, patent and trademark licensing gross profit margin contribution decreased 0.8 percentage points as compared to fiscal 2025. The decrease in gross profit margin during the year ended June 30, 2026 is primarily due to decreased patent and trademark licensing net sales as a percentage of total consolidated net sales, as patent and trademark licensing historically provides higher profit margins than our private-label contract manufacturing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excluding impairment loss and litigation settlement expenses, increased $0.7 million, or 5% to $17.3 million in fiscal 2026 as compared to $16.5 million in fiscal 2025. This increase is primarily due to a $0.4 million net expense to establish a reserve allowance on the remaining Employee Retention Tax Credit receivable balance offset by the reversal of associated fees and taxes. Other increases include advertising expense to promote our CarnoSyn® 4X and TriBsyn® product offerings and an increase in compensation expense related to increased headcount required to support the growth in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During fiscal 2026 in our Private-label contract manufacturing segment, we observed a decline in the fair value of our manufacturing facility we own in Carlsbad, California compared to its carrying value, negative cash flow results from operating activities in fiscal years 2026 and 2024, an adverse change in the business climate as a result of one of our largest customer's downward revisions of forecasted orders, and expected negative cash flow results for fiscal year 2027. These factors indicated the carrying value of certain long-lived assets might not be fully recoverable. Consequently, we performed an evaluation of the recoverability of this asset group. Based on this evaluation, we determined the carrying amount of our manufacturing facility in Carlsbad, California exceeded the projected undiscounted future cash flows from that facility. Accordingly, we determined an impairment loss due to the carrying value of this asset group as of June 30, 2026 being in excess of the sum of expected cash flows over the forecasted useful life of the facility subject to fair value limitations. As a result, we recognized a non-cash impairment charge of $10.4 million presented as a separate line item, </w:t>
      </w:r>
      <w:r>
        <w:rPr>
          <w:rFonts w:ascii="Times New Roman" w:hAnsi="Times New Roman"/>
          <w:i/>
          <w:caps w:val="false"/>
          <w:smallCaps w:val="false"/>
          <w:sz w:val="20"/>
        </w:rPr>
        <w:t>Impairment loss</w:t>
      </w:r>
      <w:r>
        <w:rPr>
          <w:rFonts w:ascii="Times New Roman" w:hAnsi="Times New Roman"/>
          <w:caps w:val="false"/>
          <w:smallCaps w:val="false"/>
          <w:sz w:val="20"/>
        </w:rPr>
        <w:t>, on the consolidated statements of operations and comprehensive loss to write down property and equipment, to reflect the lower of their estimated fair values or carrying amounts as of June 30, 2026. This charge significantly increased our operating loss for fiscal year 2026 but had no immediate impact on our cash position or liquidity. For estimates of fair values, we relied on significant unobservable inputs categorized as Level 3 within the fair value hierarchy such as third-party real estate experts for building and land fair values as of June 5, 2026, and a third-party appraiser's report for Machinery and Equipment as of January 28, 2026, which we received as part of our debt refinancing in May 2026 and do not represent fair values as of June 30, 2026. It is possible the assumptions and underlying estimates used to determine the fair value of this asset group will change in the future, and such changes could result in a material difference from the impairment loss recognized in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2025 results of operations also included a $1.4 million expense associated with an accrued litigation settlement and related legal costs associated with a PAGA claim of which an additional $44,000 of related legal fees was incurred during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 decreased $0.6 million during fiscal 2026 as compared to fiscal 2025. The decrease is primarily due to favorable foreign currency exchange rates, partially offset by an increase in interest expense related to increased interest rates and usage of our credit facility under the terms of our domestic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recorded an income tax provision of $0.4 million during fiscal 2026 as compared to $2.8 million in fiscal 2025. The decrease in our income tax provision is primarily driven by a $4.8 million valuation allowance that was recognized in fiscal 2025 against our net domestic deferred income tax asset, as well as continuation of a full valuation allowance on our domestic deferred income tax asset throughout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sources of liquidity and capital resources are cash flows provided by operating activities and the availability of borrowings under our credit facilities. Net cash used in operating activities was $8.9 million in fiscal 2026 compared to net cash provided by operating activities of $5.9 million in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year ended June 30, 2026, changes in accounts receivable used $6.0 million in cash compared to providing $2.2 million in fiscal 2025. The change in cash used in accounts receivable during fiscal 2026 primarily resulted from the timing of sales and the related collections. Days sales outstanding increased to 45 days during fiscal 2026 compared to 44 days during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used $5.9 million in cash during fiscal 2026 compared to $0.6 million in fiscal 2025. The change in cash activity from inventory was primarily related to the difference in the amount and timing of orders and anticipated sales in fiscal year 2026 as compared to fiscal year 2025. Changes in accounts payable and accrued liabilities provided $4.1 million in cash during fiscal 2026 compared to providing $2.9 million during fiscal 2025. The change in cash flow activity related to accounts payable and accrued liabilities is primarily due to the timing of inventory receipts and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investing activities in fiscal 2026 was $3.7 million compared to $3.6 million in fiscal 2025. The primary reason for this change is due to increased capital expenditures. Capital expenditures in fiscal 2026 and in fiscal 2025 included costs incurred to install solar energy generation equipment on our manufacturing facilities as well as normal expenditures to support equipment and activities in our facilities in California and Switzerland.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financing activities in fiscal 2026 was $7.8 million, compared to $2.0 million used in fiscal 2025. The change in financing activities includes borrowings of $66.7 million on our short-term line of credit in fiscal 2026 compared to borrowings of $31.0 million in fiscal 2025. The change in financing activities also includes borrowings of $11.0 million on our long-term debt in fiscal 2026 compared to no additional borrowings in fiscal 2025. Offsetting these borrowings are repayments of $60.9 million on our short-term line of credit in fiscal 2026 compared to repayments of $32.5 million in fiscal 2025. The change in financing activities also includes repayments of $9.0 million as part of refinancing our real estate loan in fiscal 2026 compared to repayments of $0.3 million in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18, 2026, we entered into a new credit facility with Legacy Corporate Lending, LLC (“Legacy”). This new credit facility includes a new term loan for $11.0 million and a working capital line of credit with a maximum borrowing capacity of $20.0 million subject to a borrowing-base calculation. On June 17, 2026, our subsidiary NAIE entered into a new credit line with UBS Switzerland AG (“UBS”) with maximum borrowing capacity of CHF 2.0 million. Please see Note F in Item 8 of this report for terms of our two new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we had $17.7 million available of the maximum borrowing capacity under the terms of our Legacy credit line of which we had outstanding borrowings of $7.7 million. We also owed $10.9 million on the new term loan secured by our Carlsbad, California powder processing and storage facility. As of June 30, 2025, we had $9.9 million available of the maximum borrowing capacity on our previous credit facility of which we had outstanding borrowings of $1.9 million. We also owed $8.9 million on the previous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NAIE had no outstanding borrowings and was in compliance with the debt covenants of its UBS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evaluated whether conditions and events, considered in aggregate, raise substantial doubt about the Company’s ability to continue as a going concern within one year after the date our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we had $7.5 million in cash, cash equivalents and restricted cash of which $6.3 million was held by NAIE. On October 15, 2025, NAIE paid a dividend of $3.1 million to NAI which was subject to a 5% Swiss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18, 2026, we entered into a new domestic credit facility with Legacy. The new credit facility includes a fixed charge coverage ratio covenant requirement as defined in the Loan and Security Agreement that is based on only domestic operations and will first be measured for the nine months ending September 30, 2026. We anticipate we will not be able to comply with the covenant required under the Loan and Security Agreement as of September 30, 2026 due to one of our largest private-label contract manufacturing customer's material downward revisions to their forecast of projected orders and purchases from us during our fiscal year 2027. We have informed Legacy of our pending non-compliance with the fixed charge coverage ratio, and there is no assurance that a waiver, amendment, or remedy will be available or what the difference in amount, cost or other factors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caps w:val="false"/>
          <w:smallCaps w:val="false"/>
          <w:sz w:val="20"/>
        </w:rPr>
      </w:pPr>
      <w:r>
        <w:rPr>
          <w:rFonts w:ascii="Times New Roman" w:hAnsi="Times New Roman"/>
          <w:caps w:val="false"/>
          <w:smallCaps w:val="false"/>
          <w:sz w:val="20"/>
        </w:rPr>
        <w:t>Management identified the following conditions that raised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60"/>
        <w:gridCol w:w="110"/>
        <w:gridCol w:w="45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Continued net losses and negative operating cash flows;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forecasted inability to meet the financial covenant requirements of Legacy for the nine months ending September 30, 2026;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inability to satisfy amounts owed under the current credit facility and term loan with cash currently available in the event Legacy elects to exercise its rights under the credit facility in the event of non-compliance regarding default actions against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caps w:val="false"/>
          <w:smallCaps w:val="false"/>
          <w:sz w:val="20"/>
        </w:rPr>
      </w:pPr>
      <w:r>
        <w:rPr>
          <w:rFonts w:ascii="Times New Roman" w:hAnsi="Times New Roman"/>
          <w:caps w:val="false"/>
          <w:smallCaps w:val="false"/>
          <w:sz w:val="20"/>
        </w:rPr>
        <w:t>To address these conditions, management has implemented the following 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have our corporate headquarters classified as held for sale of which we expect to generate net positive cash flow from a future sale;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continues to focus on growing sales through the expansion of existing customer relationships and new customer relationships;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is evaluating cost containment and reduction opportunities in an effort to improve financial results while also improving working capital usage;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careful consideration of the Company's current financial position and strategic objectives, management has determined the sale of our Carlsbad, California manufacturing facility is in the best interests of the Company and its stockholders. The Board of Directors has concluded that divesting this real property asset will provide the Company with additional liquidity needed to manage cash flows and reduce the overall debt load while improving capacity utilization. In light of the Company's recent operating challenges, management believes unlocking the capital currently held in this facility will allow the Company to extinguish the outstanding term-note on this property, reduce persistent excess capacity in our contract manufacturing segment, and better size the Company for sustainable growth. Management believes production can be effectively consolidated into our Vista, California manufacturing facility with no disruptions to production of customers' products;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Initiated a comprehensive review process to explore strategic alternatives focused on maximizing shareholder value including evaluating a full range of strategic growth paths, potential mergers, acquisitions, joint ventures, or a strategic sale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has prepared cash flow projections incorporating these plans, as well as projected sales growth reflecting our best estimates of future operating performance and liquidity needs. Management believes these plans will allow the Company to mitigate the current conditions that have raised substantial doubt about the Company’s ability to continue as a going concern. While management plans to take the actions noted above, there can be no assurance we will be successful in our efforts to obtain a waiver, amendment, or obtain alternative financing or avoid future issues maintaining compliance with 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financial statements have been prepared on a going concern basis, which contemplates the realization of assets and the satisfaction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Off-Balance Sheet Arrangements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we did not have any significant off-balance sheet debt nor did we have any transactions, arrangements, obligations (including contingent obligations) or other relationships with any unconsolidated entities or other persons, in each case that have or are reasonably likely to have a material current or future effect on our financial condition, changes in financial condition, results of operations, liquidity, capital expenditures, capital resources, or significant components of revenue or expenses material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Inflation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2026, we experienced continued price increases for product raw material, and other increased operational costs related to inflationary pressure to a higher degree than in fiscal 2025. We currently believe increasing raw material and product cost pricing pressures will continue throughout fiscal 2027 as a result of limited supplies of various ingredients, the effects of higher labor and transportation costs, interest rates, tariffs, and global fuel and energy costs. We anticipate current inflation rates will have a negative impact on our fiscal 2027 operations, and we are monitoring the drivers and working with suppliers and customers to mitigate the impact on our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discussion of recent accounting pronouncements is included under Note A in the notes to our consolidated financial statements which are included under Item 8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i7a"/>
      <w:bookmarkEnd w:id="15"/>
      <w:r>
        <w:rPr>
          <w:rFonts w:ascii="Times New Roman" w:hAnsi="Times New Roman"/>
          <w:b/>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Item 7A disclosure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6" w:name="i8"/>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7" w:name="rprt"/>
      <w:bookmarkEnd w:id="17"/>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Board of Directors and Stockholders of</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Opinion on the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Natural Alternatives International, Inc. (the “Company”) as of June 30, 2026 and 2025, and the related consolidated statements of operations and comprehensive loss, stockholders’ equity and cash flows for each of the two years in the period ended June 30, 2026, and the related notes (collectively referred to as the “consolidated financial statements”).  In our opinion, the consolidated financial statements present fairly, in all material respects, the consolidated financial position of the Company as of June 30, 2026 and 2025, and the consolidated results of its operations and its cash flows for each of the two years in the period ended June 30, 2026,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Substantial Doubt About the Company</w:t>
      </w:r>
      <w:r>
        <w:rPr>
          <w:rFonts w:ascii="Times New Roman" w:hAnsi="Times New Roman"/>
          <w:caps w:val="false"/>
          <w:smallCaps w:val="false"/>
          <w:sz w:val="20"/>
        </w:rPr>
        <w:t>’</w:t>
      </w:r>
      <w:r>
        <w:rPr>
          <w:rFonts w:ascii="Times New Roman" w:hAnsi="Times New Roman"/>
          <w:b/>
          <w:i/>
          <w:caps w:val="false"/>
          <w:smallCaps w:val="false"/>
          <w:sz w:val="20"/>
        </w:rPr>
        <w:t>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assuming the Company will continue as a going concern.  As discussed in Note A to the consolidated financial statements, the Company has experienced continued net losses and negative operating cash flow, a forecasted inability to meet financial covenant requirements in its credit facility agreement, and insufficient cash resources to satisfy the liabilities under the credit facility agreement should such be deemed in default and the lender exercises its rights under the agreement.  These conditions raise substantial doubt about the Company’s ability to continue as a going concern.  Management’s plans in regard to these matters are also described in Note A to the consolidated financial statements.  The consolidated financial statements do not include any adjustments to reflect the possible future effects on the recoverability and classification of assets or the amounts and classification of liabilities that may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 (Continued)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Impairment of Long-Lived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Critical Audit Matter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described in Note A to the consolidated financial statements, during the year ended June 30, 2026, the Company recorded an impairment charge of $10.4 million related to the long-lived assets of its Carlsbad, CA manufacturing facility. Management compared the undiscounted cash flows expected to result from the use and eventual disposition of the asset group to its carrying amount and, because those cash flows did not exceed the carrying amount, measured the impairment loss as the excess of the carrying amount over the fair value of the asset group. Measuring the impairment loss required management to estimate the fair value of the land and building and the machinery and equipment, which are measurements developed using significant unobservable inputs, including the determination of the highest and best use of the assets from the perspective of a market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considerations for our determination that this is a critical audit matter are the significant judgments made by management in developing the fair value estimates of the asset group and of the individual long-lived assets within that group, including the determination of highest and best use and the selection of the value indications considered representative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How the Critical Audit Matter was Addressed in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Auditing management’s estimates of the fair value of the asset group and of the individual long-lived assets within that group was challenging and judgmental because the estimates involve significant measurement uncertainty regarding the highest and best use of a specialized manufacturing facility as determined by a market participant, the value indications selected as representative of fair value, and the assumptions underlying the projected cash flows of the asset group. A high degree of auditor judgment, subjectivity and effort was required in performing procedures and evaluating evidence related to management's assumptions in these areas. Addressing the matter involved performing procedures and evaluating audit evidence in connection with forming our overall opinion on the consolidated financial statements. These procedures included,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obtained an understanding of the Company’s process for identifying indicators of impairment and for determining the composition of its asset groups; we evaluated management's accounting policies and practices with respect to the impairment of long-lived assets for compliance with accounting principles generally accepted in the United States of America; and we evaluated whether the assets and liabilities included in the asset group represent the lowest level for which identifiable cash flows are largely independent of the cash flows of other assets and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evaluated the projected undiscounted cash flows used in the recoverability test, including assessing the completeness of those cash flows relative to the composition of the asset group, comparing revenue growth, operating cost, capital expenditure and terminal assumptions to historical operating results, the Company’s approved operating budget, and other internal and external information, and evaluating whether such assumptions were applied consistently across the Company’s asset groups. We recomputed the comparison of the projected undiscounted cash flows to the carrying amount of the asset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inquiries with management and examination of Company-prepared analyses, we obtained an understanding of management’s determination of the highest and best use of the assets and of the significant assumptions supporting the fair value estimates. We evaluated that determination against the requirements of accounting principles generally accepted in the United States of America, including whether the valuation premise and related assumptions were applied consistently to all of the assets of the group and were consistent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 (Continued)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the assumptions underlying management's projected cash flows. We evaluated whether the valuation techniques applied were appropriate in the circumstances and consistent with that use.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obtained the third-party evidence underlying the value indications used by management and evaluated its relevance and reliability, including the source of the information, the basis and date on which it was prepared, and whether it was developed on a basis consistent with the fair value measurement objective.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Using the third-party evidence obtained by management together with market data for comparable properties that we obtained from independent sources, we evaluated whether management’s fair value conclusions fell within a range of reasonable outcomes.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tested the allocation of the impairment loss to the long-lived assets of the asset group, including the limitation of the loss allocated to any individual asset to that asset's fair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evaluated information subsequent to the balance sheet date to determine whether there was any new information that would require adjustment to the previously estimated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evaluated the classification of the impairment loss and related financial statement disclosures to ensure compliance with accounting principles generally accepted in the United States of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HASKELL &amp; WHITE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Irvine,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8" w:name="cfs"/>
      <w:bookmarkEnd w:id="18"/>
      <w:r>
        <w:rPr>
          <w:rFonts w:ascii="Times New Roman" w:hAnsi="Times New Roman"/>
          <w:b/>
          <w:caps w:val="false"/>
          <w:smallCaps w:val="false"/>
          <w:sz w:val="20"/>
        </w:rPr>
        <w:t xml:space="preserve">Natural Alternatives International,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Balance Sheets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As of June</w:t>
      </w:r>
      <w:r>
        <w:rPr>
          <w:rFonts w:ascii="Times New Roman" w:hAnsi="Times New Roman"/>
          <w:caps w:val="false"/>
          <w:smallCaps w:val="false"/>
          <w:sz w:val="20"/>
        </w:rPr>
        <w:t> </w:t>
      </w:r>
      <w:r>
        <w:rPr>
          <w:rFonts w:ascii="Times New Roman" w:hAnsi="Times New Roman"/>
          <w:b/>
          <w:caps w:val="false"/>
          <w:smallCaps w:val="false"/>
          <w:sz w:val="20"/>
        </w:rPr>
        <w:t xml:space="preserve">30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(Dollars 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85"/>
        <w:gridCol w:w="60"/>
        <w:gridCol w:w="125"/>
        <w:gridCol w:w="695"/>
        <w:gridCol w:w="80"/>
        <w:gridCol w:w="60"/>
        <w:gridCol w:w="125"/>
        <w:gridCol w:w="695"/>
        <w:gridCol w:w="80"/>
      </w:tblGrid>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12,325</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 – less allowance for credit losses of $1 at June 30, 2026 and $0 at June 30,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14,644</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24,871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Assets held for sale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08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59,276</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50,890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41,054</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noncurrent assets,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08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151,939</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15,352</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3,516</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compensation and employee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2,173</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Short-term liability – 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2,227</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Forward contracts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1,967</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Mortgage note payable,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Line of credit – current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1,900</w:t>
            </w:r>
          </w:p>
        </w:tc>
        <w:tc>
          <w:tcPr>
            <w:tcW w:w="80" w:type="dxa"/>
            <w:tcBorders/>
            <w:shd w:fill="FFFFFF" w:val="clear"/>
            <w:vAlign w:val="center"/>
          </w:tcPr>
          <w:p>
            <w:pPr>
              <w:pStyle w:val="TableContents"/>
              <w:bidi w:val="0"/>
              <w:spacing w:before="0" w:after="0"/>
              <w:jc w:val="left"/>
              <w:rPr/>
            </w:pPr>
            <w:r>
              <w:rPr/>
              <w:t> </w:t>
            </w:r>
          </w:p>
        </w:tc>
      </w:tr>
      <w:tr>
        <w:trPr/>
        <w:tc>
          <w:tcPr>
            <w:tcW w:w="8285" w:type="dxa"/>
            <w:tcBorders/>
            <w:shd w:fill="CCEEFF" w:val="clear"/>
            <w:vAlign w:val="center"/>
          </w:tcPr>
          <w:p>
            <w:pPr>
              <w:pStyle w:val="TableContents"/>
              <w:bidi w:val="0"/>
              <w:spacing w:before="0" w:after="0"/>
              <w:ind w:left="108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28,804</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Long-term liability – 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45,970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Long-term pension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Mortgage note payable,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08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83,513</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Commitments and contingencies (Notes D, F, H, J and 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$.01 par value; 500,000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Common stock; $.01 par value; 20,000,000 shares authorized at June 30, 2026 and June 30, 2025, issued and outstanding (net of treasury shares) 6,266,542 at June 30, 2026 and 6,178,213 at June 30,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33,611</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59,391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Treasury stock, at cost, 3,385,364 shares at June 30, 2026 and 3,326,693 at June 30,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2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285" w:type="dxa"/>
            <w:tcBorders/>
            <w:shd w:fill="CCEEFF" w:val="clear"/>
            <w:vAlign w:val="center"/>
          </w:tcPr>
          <w:p>
            <w:pPr>
              <w:pStyle w:val="TableContents"/>
              <w:bidi w:val="0"/>
              <w:spacing w:before="0" w:after="0"/>
              <w:ind w:left="108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68,426</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08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151,939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consolidated financial statements and 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Natural Alternatives International,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 and Comprehensive Loss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Years Ended June</w:t>
      </w:r>
      <w:r>
        <w:rPr>
          <w:rFonts w:ascii="Times New Roman" w:hAnsi="Times New Roman"/>
          <w:caps w:val="false"/>
          <w:smallCaps w:val="false"/>
          <w:sz w:val="20"/>
        </w:rPr>
        <w:t> </w:t>
      </w:r>
      <w:r>
        <w:rPr>
          <w:rFonts w:ascii="Times New Roman" w:hAnsi="Times New Roman"/>
          <w:b/>
          <w:caps w:val="false"/>
          <w:smallCaps w:val="false"/>
          <w:sz w:val="20"/>
        </w:rPr>
        <w:t xml:space="preserve">30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data)</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9770" w:type="dxa"/>
        <w:jc w:val="left"/>
        <w:tblInd w:w="0" w:type="dxa"/>
        <w:tblLayout w:type="fixed"/>
        <w:tblCellMar>
          <w:top w:w="0" w:type="dxa"/>
          <w:left w:w="0" w:type="dxa"/>
          <w:bottom w:w="0" w:type="dxa"/>
          <w:right w:w="0" w:type="dxa"/>
        </w:tblCellMar>
      </w:tblPr>
      <w:tblGrid>
        <w:gridCol w:w="7550"/>
        <w:gridCol w:w="60"/>
        <w:gridCol w:w="125"/>
        <w:gridCol w:w="845"/>
        <w:gridCol w:w="80"/>
        <w:gridCol w:w="60"/>
        <w:gridCol w:w="125"/>
        <w:gridCol w:w="845"/>
        <w:gridCol w:w="80"/>
      </w:tblGrid>
      <w:tr>
        <w:trPr/>
        <w:tc>
          <w:tcPr>
            <w:tcW w:w="7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129,860</w:t>
            </w:r>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120,571</w:t>
            </w:r>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9,289</w:t>
            </w:r>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16,549</w:t>
            </w:r>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Impairment loss (Note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Settlement of legal proceeding and associated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1,400</w:t>
            </w:r>
          </w:p>
        </w:tc>
        <w:tc>
          <w:tcPr>
            <w:tcW w:w="80" w:type="dxa"/>
            <w:tcBorders/>
            <w:shd w:fill="FFFFFF" w:val="clear"/>
            <w:vAlign w:val="center"/>
          </w:tcPr>
          <w:p>
            <w:pPr>
              <w:pStyle w:val="TableContents"/>
              <w:bidi w:val="0"/>
              <w:spacing w:before="0" w:after="0"/>
              <w:jc w:val="left"/>
              <w:rPr/>
            </w:pPr>
            <w:r>
              <w:rPr/>
              <w:t> </w:t>
            </w:r>
          </w:p>
        </w:tc>
      </w:tr>
      <w:tr>
        <w:trPr/>
        <w:tc>
          <w:tcPr>
            <w:tcW w:w="75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w:t>
            </w:r>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Change in minimum pension liability, net of tax</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Unrealized gain (loss)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6,027,816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5,946,520</w:t>
            </w:r>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6,027,816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5,946,520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See accompanying notes to consolidated financial statements and 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Natural Alternatives International,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Years Ended June</w:t>
      </w:r>
      <w:r>
        <w:rPr>
          <w:rFonts w:ascii="Times New Roman" w:hAnsi="Times New Roman"/>
          <w:caps w:val="false"/>
          <w:smallCaps w:val="false"/>
          <w:sz w:val="20"/>
        </w:rPr>
        <w:t> </w:t>
      </w:r>
      <w:r>
        <w:rPr>
          <w:rFonts w:ascii="Times New Roman" w:hAnsi="Times New Roman"/>
          <w:b/>
          <w:caps w:val="false"/>
          <w:smallCaps w:val="false"/>
          <w:sz w:val="20"/>
        </w:rPr>
        <w:t xml:space="preserve">30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(Dollars in thousands)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5"/>
        <w:gridCol w:w="60"/>
        <w:gridCol w:w="60"/>
        <w:gridCol w:w="740"/>
        <w:gridCol w:w="60"/>
        <w:gridCol w:w="60"/>
        <w:gridCol w:w="184"/>
        <w:gridCol w:w="436"/>
        <w:gridCol w:w="60"/>
        <w:gridCol w:w="60"/>
        <w:gridCol w:w="138"/>
        <w:gridCol w:w="647"/>
        <w:gridCol w:w="80"/>
        <w:gridCol w:w="60"/>
        <w:gridCol w:w="116"/>
        <w:gridCol w:w="609"/>
        <w:gridCol w:w="80"/>
        <w:gridCol w:w="60"/>
        <w:gridCol w:w="60"/>
        <w:gridCol w:w="740"/>
        <w:gridCol w:w="60"/>
        <w:gridCol w:w="60"/>
        <w:gridCol w:w="110"/>
        <w:gridCol w:w="575"/>
        <w:gridCol w:w="80"/>
        <w:gridCol w:w="60"/>
        <w:gridCol w:w="214"/>
        <w:gridCol w:w="946"/>
        <w:gridCol w:w="80"/>
        <w:gridCol w:w="60"/>
        <w:gridCol w:w="110"/>
        <w:gridCol w:w="575"/>
        <w:gridCol w:w="8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3,280,721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82,595</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for restricted stock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977</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minimum pension liability,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(13,575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(13,575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3,326,693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68,426</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for restricted stock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minimum pension liability,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gain resulting from change in fair value of derivative instruments,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(20,695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(20,695</w:t>
            </w:r>
          </w:p>
        </w:tc>
        <w:tc>
          <w:tcPr>
            <w:tcW w:w="80" w:type="dxa"/>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9,651,906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3,385,364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49,959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consolidated financial statements and 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Natural Alternatives International,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Cash Flows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Years Ended June</w:t>
      </w:r>
      <w:r>
        <w:rPr>
          <w:rFonts w:ascii="Times New Roman" w:hAnsi="Times New Roman"/>
          <w:caps w:val="false"/>
          <w:smallCaps w:val="false"/>
          <w:sz w:val="20"/>
        </w:rPr>
        <w:t> </w:t>
      </w:r>
      <w:r>
        <w:rPr>
          <w:rFonts w:ascii="Times New Roman" w:hAnsi="Times New Roman"/>
          <w:b/>
          <w:caps w:val="false"/>
          <w:smallCaps w:val="false"/>
          <w:sz w:val="20"/>
        </w:rPr>
        <w:t xml:space="preserve">30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7085"/>
        <w:gridCol w:w="60"/>
        <w:gridCol w:w="125"/>
        <w:gridCol w:w="650"/>
        <w:gridCol w:w="80"/>
        <w:gridCol w:w="60"/>
        <w:gridCol w:w="125"/>
        <w:gridCol w:w="650"/>
        <w:gridCol w:w="80"/>
      </w:tblGrid>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Impairment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Settlement of legal proceeding and associated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3,613</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Non-cash lease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7,254</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977</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Pension expense, net of contributions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Loss on disposal of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2,247</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2,223</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2,858</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compensation and employee benefits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5,932</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Borrowings under line of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31,000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Repayments under line of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(60,861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(32,500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Borrowings under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Repayments under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(decrease)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11,981</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12,325</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paid during the year for: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Non-cash purchases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See accompanying notes to consolidated financial statements and 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 Organization and 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Organization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provide private-label contract manufacturing services to companies that market and distribute vitamins, minerals, herbs, and other nutritional supplements, as well as other health care products, to consumers both within and outside the U.S. We also seek to commercialize our patent and trademark estate related to the ingredient known as beta-alanine sold under our CarnoSyn®, SR CarnoSyn®, CarnoSyn® </w:t>
      </w:r>
      <w:r>
        <w:rPr>
          <w:rStyle w:val="Emphasis"/>
          <w:rFonts w:ascii="Times New Roman" w:hAnsi="Times New Roman"/>
          <w:caps w:val="false"/>
          <w:smallCaps w:val="false"/>
          <w:sz w:val="20"/>
        </w:rPr>
        <w:t>4X</w:t>
      </w:r>
      <w:r>
        <w:rPr>
          <w:rFonts w:ascii="Times New Roman" w:hAnsi="Times New Roman"/>
          <w:caps w:val="false"/>
          <w:smallCaps w:val="false"/>
          <w:sz w:val="20"/>
        </w:rPr>
        <w:t> and TriBsyn® trademarks through raw material and finished product sales and various license and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22,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1999,</w:t>
      </w:r>
      <w:r>
        <w:rPr>
          <w:rFonts w:ascii="Times New Roman" w:hAnsi="Times New Roman"/>
          <w:caps w:val="false"/>
          <w:smallCaps w:val="false"/>
          <w:sz w:val="20"/>
        </w:rPr>
        <w:t xml:space="preserve"> Natural Alternatives International Europe S.A., a Swiss Corporation (NAIE) was formed as our wholly owned subsidiary, based in Manno, Switzerland. In </w:t>
      </w:r>
      <w:r>
        <w:rPr>
          <w:rStyle w:val="Emphasis"/>
          <w:rFonts w:ascii="Times New Roman" w:hAnsi="Times New Roman"/>
          <w:caps w:val="false"/>
          <w:smallCaps w:val="false"/>
          <w:sz w:val="20"/>
        </w:rPr>
        <w:t xml:space="preserve">September 1999, </w:t>
      </w:r>
      <w:r>
        <w:rPr>
          <w:rFonts w:ascii="Times New Roman" w:hAnsi="Times New Roman"/>
          <w:caps w:val="false"/>
          <w:smallCaps w:val="false"/>
          <w:sz w:val="20"/>
        </w:rPr>
        <w:t>NAIE opened a manufacturing facility and currently possesses manufacturing capability in encapsulation, powders, tablets, finished goods packaging, quality control laboratory testing, warehousing, distribution and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Principles of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Natural Alternatives International, Inc. (NAI) and our wholly owned subsidiary, NAIE. All intercompany accounts and transactions have been eliminated. The functional currency of NAIE, our foreign subsidiary, is the U.S. Dollar. Certain accounts of NAIE have been translated at either current or historical exchange rates, as appropriate, with gains and losses included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Improvements to Income Tax Disclosures". The amendments in this update address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amendments in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are effective for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with early adoption permitted. We adopted the new standard and the additional disclosure requirements in our annual financial statements for the year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with prospective application contained in Note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Recently Issued Accounting and Regulatory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Codification Improvements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those fiscal years. Entities are required to apply the amendments to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retrospectively. All other amendments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applied prospectively or retrospectively. Early adoption is permitted. We plan to adopt this pronouncement for the interim periods within our fiscal year beginning </w:t>
      </w:r>
      <w:r>
        <w:rPr>
          <w:rStyle w:val="Emphasis"/>
          <w:rFonts w:ascii="Times New Roman" w:hAnsi="Times New Roman"/>
          <w:caps w:val="false"/>
          <w:smallCaps w:val="false"/>
          <w:sz w:val="20"/>
        </w:rPr>
        <w:t xml:space="preserve">July 1, 2027, </w:t>
      </w:r>
      <w:r>
        <w:rPr>
          <w:rFonts w:ascii="Times New Roman" w:hAnsi="Times New Roman"/>
          <w:caps w:val="false"/>
          <w:smallCaps w:val="false"/>
          <w:sz w:val="20"/>
        </w:rPr>
        <w:t xml:space="preserve">and we are currently evaluating the impact this ASU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which is related to interim disclosure requirements. The amendments in this update clarify current interim disclosure requirements and provide a comprehensive list of required interim disclosures. The update also incorporates a disclosure principle that requires entities to disclose events that occur after the end of the last annual reporting period. This update is effective for interim periods within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though early adoption is permitted. We plan to adopt this pronouncement for the interim periods within our fiscal year beginning </w:t>
      </w:r>
      <w:r>
        <w:rPr>
          <w:rStyle w:val="Emphasis"/>
          <w:rFonts w:ascii="Times New Roman" w:hAnsi="Times New Roman"/>
          <w:caps w:val="false"/>
          <w:smallCaps w:val="false"/>
          <w:sz w:val="20"/>
        </w:rPr>
        <w:t xml:space="preserve">July 1, 2028, </w:t>
      </w:r>
      <w:r>
        <w:rPr>
          <w:rFonts w:ascii="Times New Roman" w:hAnsi="Times New Roman"/>
          <w:caps w:val="false"/>
          <w:smallCaps w:val="false"/>
          <w:sz w:val="20"/>
        </w:rPr>
        <w:t xml:space="preserve">and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 to have a material effect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Derivatives and Hedging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Hedge Accounting Improvements, which introduces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targeted improvements to better align hedge accounting with risk management activities of the entity. The update will be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those annual reporting periods. Early adoption is permitted. We plan to adopt this pronouncement for the interim periods within our fiscal year beginning </w:t>
      </w:r>
      <w:r>
        <w:rPr>
          <w:rStyle w:val="Emphasis"/>
          <w:rFonts w:ascii="Times New Roman" w:hAnsi="Times New Roman"/>
          <w:caps w:val="false"/>
          <w:smallCaps w:val="false"/>
          <w:sz w:val="20"/>
        </w:rPr>
        <w:t xml:space="preserve">July 1, 2027, </w:t>
      </w:r>
      <w:r>
        <w:rPr>
          <w:rFonts w:ascii="Times New Roman" w:hAnsi="Times New Roman"/>
          <w:caps w:val="false"/>
          <w:smallCaps w:val="false"/>
          <w:sz w:val="20"/>
        </w:rPr>
        <w:t>and we are assessing the effect of this update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 - 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to introduce a practical expedient intended to simplify the estimation of expected credit losses on current accounts receivable and contract assets arising from revenue transactions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practical expedient permits entities to assume that current conditions as of the reporting date remain unchanged for the remaining life of the asset.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including interim periods within those fiscal years, with early adoption permitted. The provisions under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should be applied on a prospective basis. We plan to adopt this pronouncement for the interim periods within our fiscal year beginning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and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 to have a material effect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 – Reporting Comprehensive Income – 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Disaggregation of Income Statement Expenses. This ASU requires public companies to disclose, in the notes to financial statements, specified information about certain costs and expenses presented in the consolidated statements of operations and comprehensive loss.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allows for early adoption and requires prospective application to financial statements issued for reporting periods after the effective date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and it allows for election to retrospectively adopt to any or all comparatively presented prior periods in the financial statements beginning before the effective date. This ASU will be adopted in our annual financial statements for the year ending </w:t>
      </w:r>
      <w:r>
        <w:rPr>
          <w:rStyle w:val="Emphasis"/>
          <w:rFonts w:ascii="Times New Roman" w:hAnsi="Times New Roman"/>
          <w:caps w:val="false"/>
          <w:smallCaps w:val="false"/>
          <w:sz w:val="20"/>
        </w:rPr>
        <w:t>June 30, 2028. </w:t>
      </w:r>
      <w:r>
        <w:rPr>
          <w:rFonts w:ascii="Times New Roman" w:hAnsi="Times New Roman"/>
          <w:caps w:val="false"/>
          <w:smallCaps w:val="false"/>
          <w:sz w:val="20"/>
        </w:rPr>
        <w:t>We are currently evaluating the impact of this standard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the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"Disclosure Improvements - Codification Amendments in Response to the SEC’s Disclosure Update and Simplification Initiative".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clarifies or improves disclosure and presentation requirements on various disclosure areas, including the statement of cash flows, earnings per share, debt, equity, and derivatives. The amendments will align the requirements in the FASB Accounting Standards Codification (ASC) with the SEC’s regulations. The amendments in this ASU will be effective on the date the related disclosures are removed from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or Regulation S-K by the SEC,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effective if the SEC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removed the applicable disclosure requirement by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 xml:space="preserve">Early adoption is prohibited. As we are currently subject to these SEC requirements, this ASU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impact on our consolidated financial statements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Certain amounts in the prior period consolidated financial statements have been reclassified to conform to the current period presentation. These reclassifications had </w:t>
      </w:r>
      <w:r>
        <w:rPr>
          <w:rStyle w:val="Emphasis"/>
          <w:rFonts w:ascii="Times New Roman" w:hAnsi="Times New Roman"/>
          <w:caps w:val="false"/>
          <w:smallCaps w:val="false"/>
          <w:sz w:val="20"/>
        </w:rPr>
        <w:t>no</w:t>
      </w:r>
      <w:r>
        <w:rPr>
          <w:rFonts w:ascii="Times New Roman" w:hAnsi="Times New Roman"/>
          <w:caps w:val="false"/>
          <w:smallCaps w:val="false"/>
          <w:sz w:val="20"/>
        </w:rPr>
        <w:t> effect on reported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Management evaluated whether conditions and events, considered in aggregate, raise substantial doubt about the Company’s ability to continue as a going concern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date our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had $7.5 million in cash, cash equivalents and restricted cash of which $6.3 million was held by NAIE. On </w:t>
      </w:r>
      <w:r>
        <w:rPr>
          <w:rStyle w:val="Emphasis"/>
          <w:rFonts w:ascii="Times New Roman" w:hAnsi="Times New Roman"/>
          <w:caps w:val="false"/>
          <w:smallCaps w:val="false"/>
          <w:sz w:val="20"/>
        </w:rPr>
        <w:t xml:space="preserve">October 15, 2025, </w:t>
      </w:r>
      <w:r>
        <w:rPr>
          <w:rFonts w:ascii="Times New Roman" w:hAnsi="Times New Roman"/>
          <w:caps w:val="false"/>
          <w:smallCaps w:val="false"/>
          <w:sz w:val="20"/>
        </w:rPr>
        <w:t>NAIE paid a dividend of $3.1 million to NAI which was subject to a 5% Swiss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May 18,</w:t>
      </w:r>
      <w:r>
        <w:rPr>
          <w:rFonts w:ascii="Times New Roman" w:hAnsi="Times New Roman"/>
          <w:caps w:val="false"/>
          <w:smallCaps w:val="false"/>
          <w:sz w:val="20"/>
        </w:rPr>
        <w:t>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entered into a new domestic credit facility with Legacy (Note F). The new credit facility includes a fixed charge coverage ratio covenant requirement as defined in the Loan and Security Agreement that is based on only domestic operations and will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be measured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 xml:space="preserve">We anticipate we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able to comply with the covenant required under the Loan and Security Agreement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due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our largest private-label contract manufacturing customer's material downward revisions to their forecast of projected orders and purchases from us during our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 O). We have informed Legacy of our pending non-compliance with the fixed charge coverage ratio, and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a waiver, amendment, or remedy will be available or what the difference in amount, cost or other factors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caps w:val="false"/>
          <w:smallCaps w:val="false"/>
          <w:sz w:val="20"/>
        </w:rPr>
      </w:pPr>
      <w:r>
        <w:rPr>
          <w:rFonts w:ascii="Times New Roman" w:hAnsi="Times New Roman"/>
          <w:caps w:val="false"/>
          <w:smallCaps w:val="false"/>
          <w:sz w:val="20"/>
        </w:rPr>
        <w:t>Management identified the following conditions that raised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60"/>
        <w:gridCol w:w="110"/>
        <w:gridCol w:w="45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Continued net losses and negative operating cash flows;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 forecasted inability to meet the financial covenant requirements of Legacy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inability to satisfy amounts owed under the current credit facility and term loan with cash currently available in the event Legacy elects to exercise its rights under the credit facility in the event of non-compliance regarding default actions against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address these conditions, management has implemented the following 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have our corporate headquarters classified as held for sale of which we expect to generate net positive cash flow from a future sale;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continues to focus on growing sales through the expansion of existing customer relationships and new customer relationships;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is evaluating cost containment and reduction opportunities in an effort to improve financial results while also improving working capital usage;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After careful consideration of the Company's current financial position and strategic objectives, management has determined the sale of our Carlsbad, California manufacturing facility is in the best interests of the Company and its stockholders. The Board of Directors has concluded that divesting this real property asset will provide the Company with additional liquidity needed to manage cash flows and reduce the overall debt load while improving capacity utilization. In light of the Company's recent operating challenges, management believes unlocking the capital currently held in this facility will allow the Company to extinguish the outstanding term-note on this property, reduce persistent excess capacity in our contract manufacturing segment, and better size the Company for sustainable growth. Management believes production can be effectively consolidated into our Vista, California manufacturing facility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disruptions to production of customers' products;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Initiated a comprehensive review process to explore strategic alternatives focused on maximizing shareholder value including evaluating a full range of strategic growth paths, potential mergers, acquisitions, joint ventures, or a strategic sale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Management has prepared cash flow projections incorporating these plans, as well as projected sales growth reflecting our best estimates of future operating performance and liquidity needs. Management believes these plans will allow the Company to mitigate the current conditions that have raised substantial doubt about the Company’s ability to continue as a going concern. While management plans to take the actions noted above,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successful in our efforts to obtain a waiver, amendment, or obtain alternative financing or avoid future issues maintaining compliance with 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financial statements have been prepared on a going concern basis, which contemplates the realization of assets and the satisfaction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consider all highly liquid investments with a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when purchased to be cash equivalents. Amounts classified as restricted cash are for a lockbox arrangement with our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company’s reconciliation of cash, cash equivalents and restricted cash reported within the consolidated statement of cash flows that equals the total of the same amounts shown in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4250"/>
        <w:gridCol w:w="60"/>
        <w:gridCol w:w="125"/>
        <w:gridCol w:w="485"/>
        <w:gridCol w:w="60"/>
        <w:gridCol w:w="60"/>
        <w:gridCol w:w="125"/>
        <w:gridCol w:w="590"/>
        <w:gridCol w:w="60"/>
      </w:tblGrid>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12,325</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18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Restricted cash is comprised of payment receipts from our customers used to reduce borrowing on the outstanding balance of our line of credit.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Fair Value of Financial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Fair value is defined as the exchange price that would be received to sell an asset or paid to transfer a liability (i.e., the “exit price”) in the principal or most advantageous market for the asset or liability in an orderly transaction between market participants at the measurement date. We use a </w:t>
      </w:r>
      <w:r>
        <w:rPr>
          <w:rStyle w:val="Emphasis"/>
          <w:rFonts w:ascii="Times New Roman" w:hAnsi="Times New Roman"/>
          <w:caps w:val="false"/>
          <w:smallCaps w:val="false"/>
          <w:sz w:val="20"/>
        </w:rPr>
        <w:t>three</w:t>
      </w:r>
      <w:r>
        <w:rPr>
          <w:rFonts w:ascii="Times New Roman" w:hAnsi="Times New Roman"/>
          <w:caps w:val="false"/>
          <w:smallCaps w:val="false"/>
          <w:sz w:val="20"/>
        </w:rPr>
        <w:t>-level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independent sources. Unobservable inputs are inputs that reflect our assumptions about the inputs that market participants would use in pricing the asset or liability and are developed based on the best information available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fair value hierarchy is broken down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based on the source of inputs. In general, fair values determined by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use quoted prices (unadjusted) in active markets for identical assets or liabilities that we have the ability to access. We classify cash, cash equivalents, restricted cash, and marketable securities balances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assets. The approximate fair value of cash, cash equivalents, restricted cash, accounts receivable, accounts payable and short-term borrowings is equal to book value due to the short-term nature of these items. Fair values determined by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are based on quoted prices for similar assets or liabilities in active markets, quoted prices for identical or similar assets or liabilities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and models for which all significant inputs are observable or can be corroborated, either directly or indirectly by observable market data.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are unobservable inputs for the asset or liability and include situations where there is little, if any, market activity for the asset or liability. These include certain pricing models, discounted cash flow methodologies and similar techniques that use significant unobservable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part of the refinancing of our previous credit facility, Wells Fargo required us to extinguish and settle all our remaining outstanding foreign currency hedge contracts. As a result,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hold any foreign currency hedge contracts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Except for cash, cash equivalents and restricted cash,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we did not have any financial assets or liabilities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 classify derivative forward exchange contracts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assets and liabilities. The fair values were determined by obtaining pricing from Wells Fargo.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We measure assets held for sale, property and equipment, net, and operating lease right-of-use assets at fair value on a nonrecurring basis and recognize them at the lower of fair value or their carrying amount when they are deemed to be impaired.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we recognized a non-cash impairment charge of $10.4 million presented as a separate line item, </w:t>
      </w:r>
      <w:r>
        <w:rPr>
          <w:rFonts w:ascii="Times New Roman" w:hAnsi="Times New Roman"/>
          <w:i/>
          <w:caps w:val="false"/>
          <w:smallCaps w:val="false"/>
          <w:sz w:val="20"/>
        </w:rPr>
        <w:t>Impairment loss</w:t>
      </w:r>
      <w:r>
        <w:rPr>
          <w:rFonts w:ascii="Times New Roman" w:hAnsi="Times New Roman"/>
          <w:caps w:val="false"/>
          <w:smallCaps w:val="false"/>
          <w:sz w:val="20"/>
        </w:rPr>
        <w:t xml:space="preserve">, on the consolidated statements of operations and comprehensive loss to write down property and equipment, net to reflect the lower of their estimated fair values or carrying amount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Our estimates of fair value measurements used to calculate the impairment loss were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 due to the use of significant unobservable inputs and management's own assumptions regarding future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we had no derivative instruments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Fair value of derivative instruments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assets and liabilities consisted of the following as of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4979" w:type="dxa"/>
        <w:jc w:val="left"/>
        <w:tblInd w:w="0" w:type="dxa"/>
        <w:tblLayout w:type="fixed"/>
        <w:tblCellMar>
          <w:top w:w="0" w:type="dxa"/>
          <w:left w:w="0" w:type="dxa"/>
          <w:bottom w:w="0" w:type="dxa"/>
          <w:right w:w="0" w:type="dxa"/>
        </w:tblCellMar>
      </w:tblPr>
      <w:tblGrid>
        <w:gridCol w:w="4115"/>
        <w:gridCol w:w="60"/>
        <w:gridCol w:w="135"/>
        <w:gridCol w:w="589"/>
        <w:gridCol w:w="80"/>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 Forward Contract – Current Assets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Derivative Contracts – Current Assets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 Forward Contract–Current Liabilities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 Forward Contract – Current Liabilities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Derivative Contracts – Current Liabilities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Net Asset – all Derivative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also classify any outstanding line of credit and term loan balance as a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liability, as the fair value is based on inputs that can be derived from information available in publicly quoted markets.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had $7.7 million outstanding on our line of credit and of $10.9 million outstanding on our term loan.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we had $1.9 million outstanding on our line of credit and $8.9 million outstanding on our term loan.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we did not have any financial assets or liabilities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transfer any assets or liabilities between these levels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or fiscal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Accounts Receivable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perform ongoing credit evaluations of our customers and adjust credit limits based on payment history and expected future customer credit-worthiness. An allowance for estimated credit losses is maintained based on,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historical collection experience, current customer financial condition, current and future economic and market conditions, and age of receivables to identify any customer credit issues. We monitor our expected collections regularly and adjust the allowance for credit loss accounts as necessary to recognize any changes in credit exposure. Upon conclusion that a receivable is uncollectible, we record the respective amount as a charge against allowance for credit losses. To date, such credit loss reserves, in the aggregate, have been adequate to cover collection losses.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Inventories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operate primarily as a private-label contract manufacturer. We make products based upon anticipated demand or following receipt of customer specific purchase orders. From time to time, we make inventory for private-label contract manufacturing customers under a specific purchase order with delivery dates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subsequently be rescheduled or canceled at the customer’s request. We value inventory at the lower of cost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or net realizable value on an item-by-item basis, including costs for raw materials, labor and manufacturing overhead. We establish reserves equal to all or a portion of the related inventory to reflect situations in which the cost of the inventory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recovered. This requires us to make estimates regarding the market value of our inventory, including an assessment for excess and obsolete inventory. Once we establish an inventory reserve in a fiscal period, the reduced inventory value is maintained until the inventory is sold or otherwise disposed of. In evaluating whether inventory is stated at the lower of cost or net realizable value, management considers such factors as the amount of inventory on hand, the estimated time required to sell such inventory, the remaining shelf life and efficacy, the foreseeable demand within a specified time horizon and current and expected market conditions. Based on this evaluation, we record adjustments to cost of goods sold to adjust inventory to its net realizable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Property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state property and equipment at cost. Depreciation of property and equipment is provided using the straight-line method over their estimated useful lives, generally ranging from 1 to 39 years. We amortize leasehold improvements using the straight-line method over the shorter of the useful life of the improvement or the term of the lease. Maintenance and repairs are expensed as incurred. Significant expenditures that increase economic useful lives of property or equipment are capitalized and expensed over the useful life of such 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Impairment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periodically evaluate the carrying value of long-lived assets to be held and used when events and circumstances indicate that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recovered.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in our Private-label contract manufacturing segment, we observed a decline in the fair value of our manufacturing facility we own in Carlsbad, California compared to its carrying value, negative cash flow results from operating activities in fiscal years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 adverse change in the business climate as a result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our largest customer's downward revisions of forecasted orders, and expected negative cash flow results for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These factors indicated the carrying value of certain long-lived assets might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fully recoverable. Consequently, we performed an evaluation of the recoverability of this asset group. Based on this evaluation, we determined the carrying amount of our manufacturing facility in Carlsbad, California exceeded the projected undiscounted future cash flows from that facility. Accordingly, we determined an impairment loss due to the carrying value of this asset group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being in excess of the sum of expected cash flows over the forecasted useful life of the facility subject to fair value limitations. As a result, we recognized a non-cash impairment charge of $10.4 million presented as a separate line item, </w:t>
      </w:r>
      <w:r>
        <w:rPr>
          <w:rFonts w:ascii="Times New Roman" w:hAnsi="Times New Roman"/>
          <w:i/>
          <w:caps w:val="false"/>
          <w:smallCaps w:val="false"/>
          <w:sz w:val="20"/>
        </w:rPr>
        <w:t>Impairment loss</w:t>
      </w:r>
      <w:r>
        <w:rPr>
          <w:rFonts w:ascii="Times New Roman" w:hAnsi="Times New Roman"/>
          <w:caps w:val="false"/>
          <w:smallCaps w:val="false"/>
          <w:sz w:val="20"/>
        </w:rPr>
        <w:t xml:space="preserve">, on the consolidated statements of operations and comprehensive loss to write down property and equipment, to reflect the lower of their estimated fair values or carrying amounts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This charge significantly increased our operating loss for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but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immediate impact on our cash position or liquidity. For estimates of fair values, we relied on significant unobservable inputs categorized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 such as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real estate experts for building and land fair values as of </w:t>
      </w:r>
      <w:r>
        <w:rPr>
          <w:rStyle w:val="Emphasis"/>
          <w:rFonts w:ascii="Times New Roman" w:hAnsi="Times New Roman"/>
          <w:caps w:val="false"/>
          <w:smallCaps w:val="false"/>
          <w:sz w:val="20"/>
        </w:rPr>
        <w:t xml:space="preserve">June 5, 2026, </w:t>
      </w:r>
      <w:r>
        <w:rPr>
          <w:rFonts w:ascii="Times New Roman" w:hAnsi="Times New Roman"/>
          <w:caps w:val="false"/>
          <w:smallCaps w:val="false"/>
          <w:sz w:val="20"/>
        </w:rPr>
        <w:t xml:space="preserve">and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appraiser's report for Machinery and Equipment as of </w:t>
      </w:r>
      <w:r>
        <w:rPr>
          <w:rStyle w:val="Emphasis"/>
          <w:rFonts w:ascii="Times New Roman" w:hAnsi="Times New Roman"/>
          <w:caps w:val="false"/>
          <w:smallCaps w:val="false"/>
          <w:sz w:val="20"/>
        </w:rPr>
        <w:t xml:space="preserve">January 28, 2026, </w:t>
      </w:r>
      <w:r>
        <w:rPr>
          <w:rFonts w:ascii="Times New Roman" w:hAnsi="Times New Roman"/>
          <w:caps w:val="false"/>
          <w:smallCaps w:val="false"/>
          <w:sz w:val="20"/>
        </w:rPr>
        <w:t xml:space="preserve">which we received as part of our debt refinancing 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fair values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It is possible the assumptions and underlying estimates used to determine the fair value of this asset group will change in the future, and such changes could result in a material difference from the impairment loss recognized in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During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recognized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after careful consideration of our financial position and strategic objectives, management determined the sale of the Company's corporate headquarters building was in the best interests of the Company and its stockholders. The Board of Directors concluded that divesting this real property asset would provide us with enhanced financial flexibility and additional liquidity needed to pursue business opportunities. By the end of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had met all of the criteria required for treatment of the building, land and other fixed assets as assets held for sale. The assets held for sale are located in Carlsbad, California and are reported at their combined carrying value of $4.0 million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We estimate the sale of these assets to occur during our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loss was recognized upon classification to assets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Derivative Financial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use derivative financial instruments in the management of our foreign currency exchange risk inherent in our forecasted sales denominated in Euros and Swiss Francs, our long-term lease liability denominated in Swiss Francs and our exposure to interest rate fluctuations related to our term-note.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hedge our foreign currency exposures by entering into offsetting forward exchange contracts. To the extent we use derivative financial instruments that meet the relevant criteria, we account for them as cash flow hedges. Foreign exchange derivative instruments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criteria for cash flow hedge accounting are marked-to-market through the consolidated statements of operations and comprehensive loss. Historically, our cash flow derivative instruments related to our Euro sales have met the criteria for hedge accounting, while our derivative instruments related to our long-term lease liability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began hedging our currency risk associated with sales denominated in Swiss Franc and these derivative instruments meet the criteria for cash flow hedge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recognize any unrealized gains and losses associated with derivative instruments accounted for as cash flow hedges in income in the period in which the underlying hedged transaction is realized. To the extent the derivative instrument is deemed ineffective we would recognize the resulting gain or loss in income at that time.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held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derivative contracts designated as cash flow hedges as all contracts were settled on </w:t>
      </w:r>
      <w:r>
        <w:rPr>
          <w:rStyle w:val="Emphasis"/>
          <w:rFonts w:ascii="Times New Roman" w:hAnsi="Times New Roman"/>
          <w:caps w:val="false"/>
          <w:smallCaps w:val="false"/>
          <w:sz w:val="20"/>
        </w:rPr>
        <w:t xml:space="preserve">May 11, 2026 </w:t>
      </w:r>
      <w:r>
        <w:rPr>
          <w:rFonts w:ascii="Times New Roman" w:hAnsi="Times New Roman"/>
          <w:caps w:val="false"/>
          <w:smallCaps w:val="false"/>
          <w:sz w:val="20"/>
        </w:rPr>
        <w:t>resulting in a net settlement loss of $0.2 million when our hedging credit line with Well Fargo was terminated. We are exploring opportunities with other lenders to establish a new foreign currency hedging credit line.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Defined Benefit Pension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formerly sponsored a defined benefit pension plan. Effective </w:t>
      </w:r>
      <w:r>
        <w:rPr>
          <w:rStyle w:val="Emphasis"/>
          <w:rFonts w:ascii="Times New Roman" w:hAnsi="Times New Roman"/>
          <w:caps w:val="false"/>
          <w:smallCaps w:val="false"/>
          <w:sz w:val="20"/>
        </w:rPr>
        <w:t>June 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1999,</w:t>
      </w:r>
      <w:r>
        <w:rPr>
          <w:rFonts w:ascii="Times New Roman" w:hAnsi="Times New Roman"/>
          <w:caps w:val="false"/>
          <w:smallCaps w:val="false"/>
          <w:sz w:val="20"/>
        </w:rPr>
        <w:t xml:space="preserve"> we adopted an amendment to freeze benefit accruals to the participants. The plan obligation and related assets of the plan are presented in the notes to the consolidated financial statements. Plan assets, which consist primarily of marketable equity and debt instruments, are valued based upon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market quotations. Independent actuaries, through the use of a number of assumptions, determine plan obligations and annual pension expense. Key assumptions in measuring the plan obligations include the discount rate and estimated future return on plan assets. In determining the discount rate, we use an average long-term bond yield. Asset returns are based on the historical returns of multiple asset classes to develop a risk free rate of return and risk premiums for each asset class. The overall rate for each asset class was developed by combining a long-term inflation component, the risk free rate of return and the associated risk premium. A weighted average rate is developed based on the overall rates and the plan’s asset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record revenue based on a </w:t>
      </w:r>
      <w:r>
        <w:rPr>
          <w:rStyle w:val="Emphasis"/>
          <w:rFonts w:ascii="Times New Roman" w:hAnsi="Times New Roman"/>
          <w:caps w:val="false"/>
          <w:smallCaps w:val="false"/>
          <w:sz w:val="20"/>
        </w:rPr>
        <w:t>five</w:t>
      </w:r>
      <w:r>
        <w:rPr>
          <w:rFonts w:ascii="Times New Roman" w:hAnsi="Times New Roman"/>
          <w:caps w:val="false"/>
          <w:smallCaps w:val="false"/>
          <w:sz w:val="20"/>
        </w:rPr>
        <w:t>-step model which includes: (</w:t>
      </w:r>
      <w:r>
        <w:rPr>
          <w:rStyle w:val="Emphasis"/>
          <w:rFonts w:ascii="Times New Roman" w:hAnsi="Times New Roman"/>
          <w:caps w:val="false"/>
          <w:smallCaps w:val="false"/>
          <w:sz w:val="20"/>
        </w:rPr>
        <w:t>1</w:t>
      </w:r>
      <w:r>
        <w:rPr>
          <w:rFonts w:ascii="Times New Roman" w:hAnsi="Times New Roman"/>
          <w:caps w:val="false"/>
          <w:smallCaps w:val="false"/>
          <w:sz w:val="20"/>
        </w:rPr>
        <w:t>) identifying a contract with a customer; (</w:t>
      </w:r>
      <w:r>
        <w:rPr>
          <w:rStyle w:val="Emphasis"/>
          <w:rFonts w:ascii="Times New Roman" w:hAnsi="Times New Roman"/>
          <w:caps w:val="false"/>
          <w:smallCaps w:val="false"/>
          <w:sz w:val="20"/>
        </w:rPr>
        <w:t>2</w:t>
      </w:r>
      <w:r>
        <w:rPr>
          <w:rFonts w:ascii="Times New Roman" w:hAnsi="Times New Roman"/>
          <w:caps w:val="false"/>
          <w:smallCaps w:val="false"/>
          <w:sz w:val="20"/>
        </w:rPr>
        <w:t>) identifying the performance obligations in the contract; (</w:t>
      </w:r>
      <w:r>
        <w:rPr>
          <w:rStyle w:val="Emphasis"/>
          <w:rFonts w:ascii="Times New Roman" w:hAnsi="Times New Roman"/>
          <w:caps w:val="false"/>
          <w:smallCaps w:val="false"/>
          <w:sz w:val="20"/>
        </w:rPr>
        <w:t>3</w:t>
      </w:r>
      <w:r>
        <w:rPr>
          <w:rFonts w:ascii="Times New Roman" w:hAnsi="Times New Roman"/>
          <w:caps w:val="false"/>
          <w:smallCaps w:val="false"/>
          <w:sz w:val="20"/>
        </w:rPr>
        <w:t>) determining the transaction price; (</w:t>
      </w:r>
      <w:r>
        <w:rPr>
          <w:rStyle w:val="Emphasis"/>
          <w:rFonts w:ascii="Times New Roman" w:hAnsi="Times New Roman"/>
          <w:caps w:val="false"/>
          <w:smallCaps w:val="false"/>
          <w:sz w:val="20"/>
        </w:rPr>
        <w:t>4</w:t>
      </w:r>
      <w:r>
        <w:rPr>
          <w:rFonts w:ascii="Times New Roman" w:hAnsi="Times New Roman"/>
          <w:caps w:val="false"/>
          <w:smallCaps w:val="false"/>
          <w:sz w:val="20"/>
        </w:rPr>
        <w:t>) allocating the transaction price among the performance obligations; and (</w:t>
      </w:r>
      <w:r>
        <w:rPr>
          <w:rStyle w:val="Emphasis"/>
          <w:rFonts w:ascii="Times New Roman" w:hAnsi="Times New Roman"/>
          <w:caps w:val="false"/>
          <w:smallCaps w:val="false"/>
          <w:sz w:val="20"/>
        </w:rPr>
        <w:t>5</w:t>
      </w:r>
      <w:r>
        <w:rPr>
          <w:rFonts w:ascii="Times New Roman" w:hAnsi="Times New Roman"/>
          <w:caps w:val="false"/>
          <w:smallCaps w:val="false"/>
          <w:sz w:val="20"/>
        </w:rPr>
        <w:t>) recognizing revenue as each of the various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Revenue is measured as the net amount of consideration expected to be received in exchange for fulfilling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performance obligations. We identify purchase orders from customers as contracts. The amount of consideration expected to be received and revenue recognized includes estimates of variable consideration, including estimates for early payment discounts, volume rebates, and contractual discounts. Such estimates are calculated using historical averages adjusted for any expected changes due to current business conditions and experience. We review and update these estimates at the end of each reporting period, and the impact of any adjustment is recognized in the period the adjustments are identified. In assessing whether collection of consideration from a customer is probable, we consider both the customer's ability and intent to pay the amount of consideration when it is due. Payments of invoices are due as specified in the underlying customer agreement, which typically range from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from the invoice date. Invoices are generally issued on the date of transfer of control of the products ordered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Revenue is recognized at the point in time that each of our performance obligations is fulfilled, and control of the ordered products is transferred to the customer. This transfer occurs when the product is shipped, or in some cases, when the product is delivered to the customer. We recognize revenue in certain circumstances before delivery to the customer has occurred (commonly referred to as bill-and-hold transactions). Products sold under bill-and-hold arrangements are recorded as revenue when risk of ownership has been transferred to the customer, but the product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shipped due to a substantive reason, typically at the customer’s request. The product must be separately identified as belonging to the customer, ready for physical transfer to the customer, and we cannot have the ability to redirect the product to another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provide early payment discounts to certain customers. We evaluate the likelihood of customers taking advantage of these discounts based on historical payment trends. The cost of these discounts is reported as a reduction to the transaction price. If the actual discounts differ from those estimated, the difference is also reported as a change in the transaction price. We require prepayment from certain customers. We record any payments received in advance of contracts fulfillment as a contract liability, and they are classified as customer deposits on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liabilities and revenue recognized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3"/>
        <w:gridCol w:w="60"/>
        <w:gridCol w:w="237"/>
        <w:gridCol w:w="924"/>
        <w:gridCol w:w="60"/>
        <w:gridCol w:w="60"/>
        <w:gridCol w:w="167"/>
        <w:gridCol w:w="648"/>
        <w:gridCol w:w="60"/>
        <w:gridCol w:w="60"/>
        <w:gridCol w:w="314"/>
        <w:gridCol w:w="1369"/>
        <w:gridCol w:w="80"/>
        <w:gridCol w:w="60"/>
        <w:gridCol w:w="482"/>
        <w:gridCol w:w="1006"/>
        <w:gridCol w:w="80"/>
        <w:gridCol w:w="60"/>
        <w:gridCol w:w="237"/>
        <w:gridCol w:w="924"/>
        <w:gridCol w:w="64"/>
      </w:tblGrid>
      <w:tr>
        <w:trPr/>
        <w:tc>
          <w:tcPr>
            <w:tcW w:w="3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Revenue Recognized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Customer Refunds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30, 2026</w:t>
            </w:r>
          </w:p>
        </w:tc>
        <w:tc>
          <w:tcPr>
            <w:tcW w:w="64" w:type="dxa"/>
            <w:tcBorders/>
            <w:shd w:fill="FFFFFF" w:val="clear"/>
            <w:vAlign w:val="center"/>
          </w:tcPr>
          <w:p>
            <w:pPr>
              <w:pStyle w:val="TableContents"/>
              <w:bidi w:val="0"/>
              <w:spacing w:before="0" w:after="283"/>
              <w:jc w:val="left"/>
              <w:rPr/>
            </w:pPr>
            <w:r>
              <w:rPr/>
              <w:t> </w:t>
            </w:r>
          </w:p>
        </w:tc>
      </w:tr>
      <w:tr>
        <w:trPr/>
        <w:tc>
          <w:tcPr>
            <w:tcW w:w="325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Liabilities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1,320</w:t>
            </w:r>
          </w:p>
        </w:tc>
        <w:tc>
          <w:tcPr>
            <w:tcW w:w="64" w:type="dxa"/>
            <w:tcBorders/>
            <w:shd w:fill="CCEEFF" w:val="clear"/>
            <w:vAlign w:val="center"/>
          </w:tcPr>
          <w:p>
            <w:pPr>
              <w:pStyle w:val="TableContents"/>
              <w:bidi w:val="0"/>
              <w:spacing w:before="0" w:after="283"/>
              <w:jc w:val="left"/>
              <w:rPr/>
            </w:pPr>
            <w:r>
              <w:rPr/>
              <w:t> </w:t>
            </w:r>
          </w:p>
        </w:tc>
      </w:tr>
      <w:tr>
        <w:trPr/>
        <w:tc>
          <w:tcPr>
            <w:tcW w:w="3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Additions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3"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Revenue Recognized</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8"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Customer Refunds</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30, 2025</w:t>
            </w:r>
          </w:p>
        </w:tc>
        <w:tc>
          <w:tcPr>
            <w:tcW w:w="64" w:type="dxa"/>
            <w:tcBorders/>
            <w:shd w:fill="CCEEFF" w:val="clear"/>
            <w:vAlign w:val="center"/>
          </w:tcPr>
          <w:p>
            <w:pPr>
              <w:pStyle w:val="TableContents"/>
              <w:bidi w:val="0"/>
              <w:spacing w:before="0" w:after="283"/>
              <w:jc w:val="left"/>
              <w:rPr/>
            </w:pPr>
            <w:r>
              <w:rPr/>
              <w:t> </w:t>
            </w:r>
          </w:p>
        </w:tc>
      </w:tr>
      <w:tr>
        <w:trPr/>
        <w:tc>
          <w:tcPr>
            <w:tcW w:w="325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Liabilities (Customer Deposits)</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Except for product defects,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right of return exists on the sale of our products, or those we manufacture for our customers. We estimate returns based on historical experience and recognize a returns liability for any estimated returns.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we have $0 in our returns reserve.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We currently own and previously owned certain U.S. patents and patent pending applications, and each patent’s corresponding foreign patent applications. All of these patents, pending patents, and patent rights, relate to the ingredient known as beta-alanine marketed and sold under our CarnoSyn®, SR CarnoSyn®, CarnoSyn® </w:t>
      </w:r>
      <w:r>
        <w:rPr>
          <w:rStyle w:val="Emphasis"/>
          <w:rFonts w:ascii="Times New Roman" w:hAnsi="Times New Roman"/>
          <w:caps w:val="false"/>
          <w:smallCaps w:val="false"/>
          <w:sz w:val="20"/>
        </w:rPr>
        <w:t>4X</w:t>
      </w:r>
      <w:r>
        <w:rPr>
          <w:rFonts w:ascii="Times New Roman" w:hAnsi="Times New Roman"/>
          <w:caps w:val="false"/>
          <w:smallCaps w:val="false"/>
          <w:sz w:val="20"/>
        </w:rPr>
        <w:t xml:space="preserve"> and TriBsyn® trademarks. We recorded beta-alanine raw material sales and royalty and licensing income as a component of revenue in the amount of $7.9 million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$8.1 million during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These royalty income and raw material sale amounts resulted in royalty expense paid to the original patent holders from whom NAI acquired its patents and patent rights. We recognized royalty expense as a component of cost of goods sold in the amount of $0.2 million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$0.3 million during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July 2026, </w:t>
      </w:r>
      <w:r>
        <w:rPr>
          <w:rFonts w:ascii="Times New Roman" w:hAnsi="Times New Roman"/>
          <w:caps w:val="false"/>
          <w:smallCaps w:val="false"/>
          <w:sz w:val="20"/>
        </w:rPr>
        <w:t>our patents related to instant release beta-alanine expired and the royalty expense agreement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Cost of Goods Sold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 includes raw material, labor, manufacturing overhead, royalty expense, shipping, and customer related 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Shipping and Handling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include fees earned on the shipment of products to customers in sales and include costs incurred on the shipment of product to customers in costs of goods sold.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Research and Development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part of the services we provide to our private-label contract manufacturing customers,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perform,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perform, certain research and development activities related to the development or improvement of their products. While our customers typically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pay directly for this service, the cost of this service is included as a component of the price we charge to manufacture and deliver their products. We also direct and participate in clinical research studies, often in collaboration with scientists and research institutions, to validate the benefits of a product and provide scientific support for product claims and marketing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Research and development costs are expensed when incurred. Our research and development expenses were $2.3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$1.8 million for fiscal </w:t>
      </w:r>
      <w:r>
        <w:rPr>
          <w:rStyle w:val="Emphasis"/>
          <w:rFonts w:ascii="Times New Roman" w:hAnsi="Times New Roman"/>
          <w:caps w:val="false"/>
          <w:smallCaps w:val="false"/>
          <w:sz w:val="20"/>
        </w:rPr>
        <w:t>2025</w:t>
      </w:r>
      <w:r>
        <w:rPr>
          <w:rFonts w:ascii="Times New Roman" w:hAnsi="Times New Roman"/>
          <w:caps w:val="false"/>
          <w:smallCaps w:val="false"/>
          <w:sz w:val="20"/>
        </w:rPr>
        <w:t>. These costs are included in selling, general and administrative expenses and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Advertising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expense the production costs of advertising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time the advertising takes place. We incurred and expensed advertising costs in the amount of $0.6 million during the fiscal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$0.4 million during fiscal </w:t>
      </w:r>
      <w:r>
        <w:rPr>
          <w:rStyle w:val="Emphasis"/>
          <w:rFonts w:ascii="Times New Roman" w:hAnsi="Times New Roman"/>
          <w:caps w:val="false"/>
          <w:smallCaps w:val="false"/>
          <w:sz w:val="20"/>
        </w:rPr>
        <w:t>2025</w:t>
      </w:r>
      <w:r>
        <w:rPr>
          <w:rFonts w:ascii="Times New Roman" w:hAnsi="Times New Roman"/>
          <w:caps w:val="false"/>
          <w:smallCaps w:val="false"/>
          <w:sz w:val="20"/>
        </w:rPr>
        <w:t>. These costs are included in 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determine our annual provision for income taxes, we use an estimated annual effective tax rate that is based on annual income, statutory tax rates and tax planning opportunities available in the various jurisdictions to which we are subject. We recognize interest and penalties related to uncertain tax positions, if any, as an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record valuation allowances to reduce our deferred tax assets to an amount that we believe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realized. In assessing the realizability of deferred tax assets, management considers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some portion or all of the deferred tax assets will ultimately be realized based on whether future taxable income will be generated during the periods in which those temporary differences become deductible. 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recorded a valuation allowance against deferred income tax assets of $5.6 million, representing the amount of our deferred income tax assets in excess of our deferred income tax liabilities. We recorded the valuation allowance because management was unable to conclude, in light of the cumulative loss we have realized related to our US-based operations in recent years, that realization of the net deferred income tax asset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valuation allowance recorded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primarily related to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changes in other deferred tax items recognized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As a result of the recognition of these valuation adjustments, we have a $10.4 million net deferred tax asset offset by a valuation allowance of $10.4 million resulting in a net deferred tax asset of $0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This valuation allowance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effect on the tax expense and related liability recorded for operating income recognized by NAIE 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 are accounted for under the asset and liability method. Deferred tax assets and liabilities are measured and recorded using enacted tax rates for each of the jurisdictions in which we operate, and adjusted using the tax rates expected to apply to taxable income in the years in which those temporary differences are expected to be recovered or settled. The effect on deferred tax assets and liabilities of a change in tax rates is recognized in income or expense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We account for uncertain tax positions using the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recognition threshold. It is our policy to establish reserves based on management’s assessment of exposure for certain positions taken in previously filed tax returns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payable upon audit by tax authorities. Our tax reserves are analyzed quarterly, and adjustments are made as events occur that we believe warrant adjustments to the reserves. Our practice is to recognize interest and/or penalties related to income tax matters in income tax expense.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any tax liabilities for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current omnibus equity incentive plan that became effective </w:t>
      </w:r>
      <w:r>
        <w:rPr>
          <w:rStyle w:val="Emphasis"/>
          <w:rFonts w:ascii="Times New Roman" w:hAnsi="Times New Roman"/>
          <w:caps w:val="false"/>
          <w:smallCaps w:val="false"/>
          <w:sz w:val="20"/>
        </w:rPr>
        <w:t>January 1, 2021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was approved by our stockholders at the Annual Meeting of Stockholders on </w:t>
      </w:r>
      <w:r>
        <w:rPr>
          <w:rStyle w:val="Emphasis"/>
          <w:rFonts w:ascii="Times New Roman" w:hAnsi="Times New Roman"/>
          <w:caps w:val="false"/>
          <w:smallCaps w:val="false"/>
          <w:sz w:val="20"/>
        </w:rPr>
        <w:t xml:space="preserve">December 4, 2020. </w:t>
      </w: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grant nonqualified and incentive stock options, restricted stock grants, restricted stock units, stock appreciation rights, and other stock-based awards to employees, non-employee directors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When we issue stock options or have any outstanding, we estimate the fair value of stock option awards at the date of grant using the Black-Scholes option valuation model. The Black-Scholes option valuation model was developed for use in estimating the fair value of traded options that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vesting restrictions and are fully transferable. Option valuation models require the use of highly subjective assumptions. Black-Scholes uses assumptions related to volatility, the risk-free interest rate, the dividend yield (which we assume to be zero, as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any cash dividends) and employee exercise behavior. Expected volatilities used in the model are based on the historical volatility of our stock price. The risk-free interest rate is derived from the U.S. Treasury yield curve in effect in the period of grant. The expected life of stock option grants is derived from historical experience. The fair value of restricted stock shares granted is based on the market price of our common stock on the date of grant. We amortize the estimated fair value of our stock awards to expense over the related vesting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recognize forfeiture of stock-based compensation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management has made a number of estimates and assumptions relating to the reporting of assets and liabilities, revenue and expenses, and the disclosure of contingent assets and liabilities to prepare these consolidated financial statements in conformity with U.S. generally accepted accounting principles (GAAP). Actual results could differ from those estimates and our assumptions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prove to be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Net Loss per Common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compute basic net loss per common share using the weighted average number of common shares outstanding during the year, and diluted net loss per common share using the additional dilutive effect of all dilutive securities. The dilutive impact of stock options and restricted shares account for the additional weighted average shares of common stock outstanding for our diluted net loss per common share computation. We calculated basic and diluted net loss per common share as follows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7317" w:type="dxa"/>
        <w:jc w:val="left"/>
        <w:tblInd w:w="0" w:type="dxa"/>
        <w:tblLayout w:type="fixed"/>
        <w:tblCellMar>
          <w:top w:w="0" w:type="dxa"/>
          <w:left w:w="0" w:type="dxa"/>
          <w:bottom w:w="0" w:type="dxa"/>
          <w:right w:w="0" w:type="dxa"/>
        </w:tblCellMar>
      </w:tblPr>
      <w:tblGrid>
        <w:gridCol w:w="4700"/>
        <w:gridCol w:w="60"/>
        <w:gridCol w:w="183"/>
        <w:gridCol w:w="953"/>
        <w:gridCol w:w="117"/>
        <w:gridCol w:w="88"/>
        <w:gridCol w:w="183"/>
        <w:gridCol w:w="953"/>
        <w:gridCol w:w="80"/>
      </w:tblGrid>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Years Ended June 30,</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1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(20,695</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0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Basic 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6,028</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5,947</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Dilutive effect of stock options and restricted stock shares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 weighted average common shares outstanding</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6,028</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5,947</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Basic net loss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Diluted net loss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exclude the impact of restricted stock from the calculation of diluted net loss per common share in periods where we have a net loss or when their inclusion would be antidilutive. 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we excluded 158,538 shares of unvested restricted stock. For the year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we excluded restricted stock totaling 222,551, as their impact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Concentrations of 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Financial instruments that subject us to concentrations of credit risk consist primarily of cash, cash equivalents, restricted cash and accounts receivable. We place our cash, cash equivalents and restricted cash with highly rated financial institutions. Credit risk with respect to receivables is primarily concentrated with our two largest customers whose receivable balances collectively represented 59.4% of gross accounts receivable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with our three largest customers whose receivable balances collectively represented 67.8% at </w:t>
      </w:r>
      <w:r>
        <w:rPr>
          <w:rStyle w:val="Emphasis"/>
          <w:rFonts w:ascii="Times New Roman" w:hAnsi="Times New Roman"/>
          <w:caps w:val="false"/>
          <w:smallCaps w:val="false"/>
          <w:sz w:val="20"/>
        </w:rPr>
        <w:t>June 30, 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Additionally, amounts due related to our beta-alanine raw material sales were 9.2% of gross accounts receivable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6.8% of gross accounts receivable at </w:t>
      </w:r>
      <w:r>
        <w:rPr>
          <w:rStyle w:val="Emphasis"/>
          <w:rFonts w:ascii="Times New Roman" w:hAnsi="Times New Roman"/>
          <w:caps w:val="false"/>
          <w:smallCaps w:val="false"/>
          <w:sz w:val="20"/>
        </w:rPr>
        <w:t>June 30, 2025</w:t>
      </w:r>
      <w:r>
        <w:rPr>
          <w:rFonts w:ascii="Times New Roman" w:hAnsi="Times New Roman"/>
          <w:caps w:val="false"/>
          <w:smallCaps w:val="false"/>
          <w:sz w:val="20"/>
        </w:rPr>
        <w:t>. Concentrations of credit risk related to the remaining accounts receivable balances are limited due to the number of customers comprising our remaining customer base.</w:t>
      </w:r>
    </w:p>
    <w:p>
      <w:pPr>
        <w:pStyle w:val="TextBody"/>
        <w:bidi w:val="0"/>
        <w:spacing w:before="0" w:after="0"/>
        <w:ind w:left="0" w:right="0" w:hanging="0"/>
        <w:jc w:val="left"/>
        <w:rPr/>
      </w:pPr>
      <w:r>
        <w:rPr/>
        <w:t> </w:t>
      </w:r>
    </w:p>
    <w:p>
      <w:pPr>
        <w:pStyle w:val="TextBody"/>
        <w:bidi w:val="0"/>
        <w:ind w:left="0" w:right="0" w:hanging="0"/>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 Inventories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Inventories, net, consisted of the following at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1400"/>
        <w:gridCol w:w="60"/>
        <w:gridCol w:w="125"/>
        <w:gridCol w:w="590"/>
        <w:gridCol w:w="80"/>
        <w:gridCol w:w="60"/>
        <w:gridCol w:w="125"/>
        <w:gridCol w:w="590"/>
        <w:gridCol w:w="80"/>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17,632</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Work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3,943</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4,054</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Reserves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24,871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 Property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Property and equipment consisted of the following at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(dollars in thousands):</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4010"/>
        <w:gridCol w:w="1025"/>
        <w:gridCol w:w="60"/>
        <w:gridCol w:w="125"/>
        <w:gridCol w:w="650"/>
        <w:gridCol w:w="80"/>
        <w:gridCol w:w="60"/>
        <w:gridCol w:w="125"/>
        <w:gridCol w:w="695"/>
        <w:gridCol w:w="80"/>
      </w:tblGrid>
      <w:tr>
        <w:trPr/>
        <w:tc>
          <w:tcPr>
            <w:tcW w:w="4010"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0"/>
              <w:ind w:left="180" w:right="0" w:hanging="180"/>
              <w:jc w:val="center"/>
              <w:rPr/>
            </w:pPr>
            <w:r>
              <w:rPr>
                <w:rStyle w:val="Emphasis"/>
                <w:rFonts w:ascii="Times New Roman" w:hAnsi="Times New Roman"/>
                <w:b/>
                <w:caps w:val="false"/>
                <w:smallCaps w:val="false"/>
                <w:sz w:val="20"/>
              </w:rPr>
              <w:t>Depreciable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0"/>
              <w:ind w:left="180" w:right="0" w:hanging="180"/>
              <w:jc w:val="center"/>
              <w:rPr/>
            </w:pPr>
            <w:r>
              <w:rPr>
                <w:rStyle w:val="Emphasis"/>
                <w:rFonts w:ascii="Times New Roman" w:hAnsi="Times New Roman"/>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180" w:right="0" w:hanging="18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1025" w:type="dxa"/>
            <w:tcBorders/>
            <w:shd w:fill="CCEEFF" w:val="clear"/>
            <w:vAlign w:val="center"/>
          </w:tcPr>
          <w:p>
            <w:pPr>
              <w:pStyle w:val="TableContents"/>
              <w:bidi w:val="0"/>
              <w:spacing w:before="0" w:after="0"/>
              <w:ind w:left="180" w:right="0" w:hanging="180"/>
              <w:jc w:val="center"/>
              <w:rPr/>
            </w:pPr>
            <w:r>
              <w:rPr>
                <w:rStyle w:val="Emphasis"/>
                <w:rFonts w:ascii="Times New Roman" w:hAnsi="Times New Roman"/>
                <w:caps w:val="false"/>
                <w:smallCaps w:val="false"/>
                <w:sz w:val="20"/>
              </w:rPr>
              <w:t>NA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8,940</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 and building improvements</w:t>
            </w:r>
          </w:p>
        </w:tc>
        <w:tc>
          <w:tcPr>
            <w:tcW w:w="1025" w:type="dxa"/>
            <w:tcBorders/>
            <w:shd w:fill="FFFFFF" w:val="clear"/>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7 – 39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24,650</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1025" w:type="dxa"/>
            <w:tcBorders/>
            <w:shd w:fill="CCEEFF" w:val="clear"/>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3 – 12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41,311</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equipment and furniture</w:t>
            </w:r>
          </w:p>
        </w:tc>
        <w:tc>
          <w:tcPr>
            <w:tcW w:w="1025" w:type="dxa"/>
            <w:tcBorders/>
            <w:shd w:fill="FFFFFF" w:val="clear"/>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3 – 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6,936</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Vehicles</w:t>
            </w:r>
          </w:p>
        </w:tc>
        <w:tc>
          <w:tcPr>
            <w:tcW w:w="1025" w:type="dxa"/>
            <w:tcBorders/>
            <w:shd w:fill="CCEEFF" w:val="clear"/>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1025" w:type="dxa"/>
            <w:tcBorders/>
            <w:shd w:fill="FFFFFF" w:val="clear"/>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1 – 20</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24,788</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102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106,862</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102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102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50,890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we disposed of machinery and equipment primarily due to obsolescence with total original value of $804,000 and related accumulated depreciation of $798,000 resulting in a loss on disposal of assets of $6,000.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fiscal year </w:t>
      </w:r>
      <w:r>
        <w:rPr>
          <w:rStyle w:val="Emphasis"/>
          <w:rFonts w:ascii="Times New Roman" w:hAnsi="Times New Roman"/>
          <w:caps w:val="false"/>
          <w:smallCaps w:val="false"/>
          <w:sz w:val="20"/>
        </w:rPr>
        <w:t>2025</w:t>
      </w:r>
      <w:r>
        <w:rPr>
          <w:rFonts w:ascii="Times New Roman" w:hAnsi="Times New Roman"/>
          <w:caps w:val="false"/>
          <w:smallCaps w:val="false"/>
          <w:sz w:val="20"/>
        </w:rPr>
        <w:t>, we disposed of machinery and equipment primarily due to obsolescence with total original value of $3.945 million and related accumulated depreciation of $3.896 million resulting in a loss on disposal of assets of $49,000.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Depreciation and amortization expense was approximately $4.7 million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$4.6 million in fiscal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we had met all of the criteria required for treatment of the Company's corporate headquarters building, land and other fixed assets located in Carlsbad, California as assets held for sale. The assets held for sale are reported at their combined carrying value of $4.0 million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We estimate the sale of these assets to occur during our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loss was recognized upon classification to assets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We currently lease our Vista, California and Manno, Switzerland product manufacturing and support facilities. At the inception of a contract, we assess whether the contract is, or contains, a lease. Our assessment is based on: (</w:t>
      </w:r>
      <w:r>
        <w:rPr>
          <w:rStyle w:val="Emphasis"/>
          <w:rFonts w:ascii="Times New Roman" w:hAnsi="Times New Roman"/>
          <w:caps w:val="false"/>
          <w:smallCaps w:val="false"/>
          <w:sz w:val="20"/>
        </w:rPr>
        <w:t>1</w:t>
      </w:r>
      <w:r>
        <w:rPr>
          <w:rFonts w:ascii="Times New Roman" w:hAnsi="Times New Roman"/>
          <w:caps w:val="false"/>
          <w:smallCaps w:val="false"/>
          <w:sz w:val="20"/>
        </w:rPr>
        <w:t>) whether the contract involves the use of a distinct identified asset, (</w:t>
      </w:r>
      <w:r>
        <w:rPr>
          <w:rStyle w:val="Emphasis"/>
          <w:rFonts w:ascii="Times New Roman" w:hAnsi="Times New Roman"/>
          <w:caps w:val="false"/>
          <w:smallCaps w:val="false"/>
          <w:sz w:val="20"/>
        </w:rPr>
        <w:t>2</w:t>
      </w:r>
      <w:r>
        <w:rPr>
          <w:rFonts w:ascii="Times New Roman" w:hAnsi="Times New Roman"/>
          <w:caps w:val="false"/>
          <w:smallCaps w:val="false"/>
          <w:sz w:val="20"/>
        </w:rPr>
        <w:t>) whether we obtain the right to substantially all the economic benefit from the use of the asset throughout the period of the contract, and (</w:t>
      </w:r>
      <w:r>
        <w:rPr>
          <w:rStyle w:val="Emphasis"/>
          <w:rFonts w:ascii="Times New Roman" w:hAnsi="Times New Roman"/>
          <w:caps w:val="false"/>
          <w:smallCaps w:val="false"/>
          <w:sz w:val="20"/>
        </w:rPr>
        <w:t>3</w:t>
      </w:r>
      <w:r>
        <w:rPr>
          <w:rFonts w:ascii="Times New Roman" w:hAnsi="Times New Roman"/>
          <w:caps w:val="false"/>
          <w:smallCaps w:val="false"/>
          <w:sz w:val="20"/>
        </w:rPr>
        <w:t>) whether we have the right to direct the use of the asset during such time period. At inception of a lease, we allocate the consideration in the contract to each lease component based on its relative stand-alone price to determine the lease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18, 2023, </w:t>
      </w:r>
      <w:r>
        <w:rPr>
          <w:rFonts w:ascii="Times New Roman" w:hAnsi="Times New Roman"/>
          <w:caps w:val="false"/>
          <w:smallCaps w:val="false"/>
          <w:sz w:val="20"/>
        </w:rPr>
        <w:t xml:space="preserve">we entered into a Fourth Amendment to the Lease of our Vista, California manufacturing facility. The Fourth Amendment extended the term of the Lease by an additional ten years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commencing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The amended lease covering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buildings and approximately 162,000 square feet resulted in an increase in base rent to $1.50 per square foot, after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free months of base rent beginning at the commencement of the extended term. NAI constructed substantial improvements to the facilities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installation of an approximately $2.4 million solar electrical generating system on both buildings, and other substantial improvements. Pursuant to the Fourth Amendment, the Landlord has reimbursed NAI $1.1 million for these tenant improvements to the buildings. Our lease liability and right of use asset were both increased by approximately $25.9 million as a result of this lease extension effective on the date that the Fourth Amendment was executed. We reevaluated our leased property in Vista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determined that it was in our best interest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exercise an extension option that was previously recorded at the time of the Fourth Amendment to the Lease. As a result, our lease liability and right-of-use asset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both decreased by $14.1 million due to this remeasurement.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9, 2026, </w:t>
      </w:r>
      <w:r>
        <w:rPr>
          <w:rFonts w:ascii="Times New Roman" w:hAnsi="Times New Roman"/>
          <w:caps w:val="false"/>
          <w:smallCaps w:val="false"/>
          <w:sz w:val="20"/>
        </w:rPr>
        <w:t xml:space="preserve">NAIE provided notice of termination related to our warehouse leased in Manno, Switzerland. The notice of termination reduced the lease term by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thus ending on </w:t>
      </w:r>
      <w:r>
        <w:rPr>
          <w:rStyle w:val="Emphasis"/>
          <w:rFonts w:ascii="Times New Roman" w:hAnsi="Times New Roman"/>
          <w:caps w:val="false"/>
          <w:smallCaps w:val="false"/>
          <w:sz w:val="20"/>
        </w:rPr>
        <w:t xml:space="preserve">December 31, 2026. </w:t>
      </w:r>
      <w:r>
        <w:rPr>
          <w:rFonts w:ascii="Times New Roman" w:hAnsi="Times New Roman"/>
          <w:caps w:val="false"/>
          <w:smallCaps w:val="false"/>
          <w:sz w:val="20"/>
        </w:rPr>
        <w:t>NAIE's lease liability and right-of-use asset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both decreased by approximately $0.3 million as a result of their notification and termination of the lease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22, 2024,</w:t>
      </w:r>
      <w:r>
        <w:rPr>
          <w:rFonts w:ascii="Times New Roman" w:hAnsi="Times New Roman"/>
          <w:caps w:val="false"/>
          <w:smallCaps w:val="false"/>
          <w:sz w:val="20"/>
        </w:rPr>
        <w:t xml:space="preserve"> NAIE entered into a lease for an apartment in Lugano, Switzerland with an original lease term of 27 months beginning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2, 2026, </w:t>
      </w:r>
      <w:r>
        <w:rPr>
          <w:rFonts w:ascii="Times New Roman" w:hAnsi="Times New Roman"/>
          <w:caps w:val="false"/>
          <w:smallCaps w:val="false"/>
          <w:sz w:val="20"/>
        </w:rPr>
        <w:t xml:space="preserve">NAIE extended the lease term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through </w:t>
      </w:r>
      <w:r>
        <w:rPr>
          <w:rStyle w:val="Emphasis"/>
          <w:rFonts w:ascii="Times New Roman" w:hAnsi="Times New Roman"/>
          <w:caps w:val="false"/>
          <w:smallCaps w:val="false"/>
          <w:sz w:val="20"/>
        </w:rPr>
        <w:t xml:space="preserve"> December 31, 2026. </w:t>
      </w:r>
      <w:r>
        <w:rPr>
          <w:rFonts w:ascii="Times New Roman" w:hAnsi="Times New Roman"/>
          <w:caps w:val="false"/>
          <w:smallCaps w:val="false"/>
          <w:sz w:val="20"/>
        </w:rPr>
        <w:t>NAIE's lease liability and right of use asset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both increased by approximately $27,000 as a result of the lease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Leases are classified as either finance leases or operating leases. A lease must be classified as a finance lease if any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any of these criteria. Substantially all our operating leases are comprised of payments for the use of manufacturing and office space.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leases classified as finance leases.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weighted average remaining lease term for our operating leases was 7.4 years. The weighted average discount rate for our operating leases was 7.31%.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weighted average remaining lease term for our operating leases was 8.6 years and the weighted average discount rate was 5.94%. The lease discount rate is determined as the rate of interest that a lessee would have to pay to borrow on a collateralized basis over a similar term an amount equal to the lease payments in a similar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right-of-use asset is initially measured at cost, which primarily comprises the initial amount of the lease liability, plus any initial direct costs incurred, consisting mainly of brokerage commissions,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our real estate and other operating leases, we use our secured incremental borrowing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terminated early. Certain leases contain escalation clauses. Fixed escalation clauses are included in our calculation of right-of-use assets and operating lease liabilities. Escalation clauses based on the CPI (Consumer Price Index)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our calculation of right-of-use assets and operating lease liabilities because they cannot be readily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of our manufacturing leases contain variable lease payments, including payments based on an index or rate. Variable lease payments based on an index or rate are initially measured using the index or rate in effect at lease commencement and separated into lease and non-lease components based on the initial amount stated in the lease or standalone selling prices. Lease components are included in the measurement of the initial lease liability. Additional payments based on the change in an index or rate, or payments based on a change in our portion of the operating expenses, including real estate taxes and insurance, are recorded as a period expense when incurred. Lease modifications result in remeasurement of the lease liability.</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Lease expense for operating leases consists of the lease payments plus any initial direct costs, primarily brokerage commissions, and is recognized on a straight-line basis over the lease term. Included in lease expense are any variable lease payments incurred in the period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initial lease liability. Lease expense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elected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recognize right-of-use assets and lease liabilities for short-term leases that have a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The effect of short-term leases on our right-of-use asset, lease liability, and the short-term lease cost for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Other information related to leases was as follows (in thousands) for the year ended </w:t>
      </w:r>
      <w:r>
        <w:rPr>
          <w:rStyle w:val="Emphasis"/>
          <w:rFonts w:ascii="Times New Roman" w:hAnsi="Times New Roman"/>
          <w:caps w:val="false"/>
          <w:smallCaps w:val="false"/>
          <w:sz w:val="20"/>
        </w:rPr>
        <w:t>June 30,</w:t>
      </w:r>
    </w:p>
    <w:p>
      <w:pPr>
        <w:pStyle w:val="TextBody"/>
        <w:bidi w:val="0"/>
        <w:spacing w:before="0" w:after="0"/>
        <w:ind w:left="0" w:right="0" w:hanging="0"/>
        <w:jc w:val="left"/>
        <w:rPr>
          <w:caps w:val="false"/>
          <w:smallCaps w:val="false"/>
        </w:rPr>
      </w:pPr>
      <w:r>
        <w:rPr>
          <w:caps w:val="false"/>
          <w:smallCaps w:val="false"/>
        </w:rPr>
        <w:t> </w:t>
      </w:r>
    </w:p>
    <w:tbl>
      <w:tblPr>
        <w:tblW w:w="9180" w:type="dxa"/>
        <w:jc w:val="left"/>
        <w:tblInd w:w="0" w:type="dxa"/>
        <w:tblLayout w:type="fixed"/>
        <w:tblCellMar>
          <w:top w:w="0" w:type="dxa"/>
          <w:left w:w="0" w:type="dxa"/>
          <w:bottom w:w="0" w:type="dxa"/>
          <w:right w:w="0" w:type="dxa"/>
        </w:tblCellMar>
      </w:tblPr>
      <w:tblGrid>
        <w:gridCol w:w="7535"/>
        <w:gridCol w:w="60"/>
        <w:gridCol w:w="125"/>
        <w:gridCol w:w="650"/>
        <w:gridCol w:w="80"/>
        <w:gridCol w:w="60"/>
        <w:gridCol w:w="125"/>
        <w:gridCol w:w="485"/>
        <w:gridCol w:w="60"/>
      </w:tblGrid>
      <w:tr>
        <w:trPr/>
        <w:tc>
          <w:tcPr>
            <w:tcW w:w="753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Supplemental Cash Flows Information</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753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4,302</w:t>
            </w:r>
          </w:p>
        </w:tc>
        <w:tc>
          <w:tcPr>
            <w:tcW w:w="60" w:type="dxa"/>
            <w:tcBorders/>
            <w:shd w:fill="CCEEFF" w:val="clear"/>
            <w:vAlign w:val="center"/>
          </w:tcPr>
          <w:p>
            <w:pPr>
              <w:pStyle w:val="TableContents"/>
              <w:bidi w:val="0"/>
              <w:spacing w:before="0" w:after="283"/>
              <w:jc w:val="left"/>
              <w:rPr/>
            </w:pPr>
            <w:r>
              <w:rPr/>
              <w:t> </w:t>
            </w:r>
          </w:p>
        </w:tc>
      </w:tr>
      <w:tr>
        <w:trPr/>
        <w:tc>
          <w:tcPr>
            <w:tcW w:w="753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decrease in operating lease liabilities and right-of-use assets due to lease remeasurements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(14,413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Other comprehensive income (loss) (“OCI” and “OCL”) consisted of the following at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(dollars in thousands):</w:t>
      </w:r>
    </w:p>
    <w:p>
      <w:pPr>
        <w:pStyle w:val="TextBody"/>
        <w:bidi w:val="0"/>
        <w:spacing w:before="0" w:after="0"/>
        <w:ind w:left="0" w:right="0" w:hanging="0"/>
        <w:jc w:val="left"/>
        <w:rPr>
          <w:caps w:val="false"/>
          <w:smallCaps w:val="false"/>
        </w:rPr>
      </w:pPr>
      <w:r>
        <w:rPr>
          <w:caps w:val="false"/>
          <w:smallCaps w:val="false"/>
        </w:rPr>
        <w:t> </w:t>
      </w:r>
    </w:p>
    <w:tbl>
      <w:tblPr>
        <w:tblW w:w="5704" w:type="dxa"/>
        <w:jc w:val="left"/>
        <w:tblInd w:w="0" w:type="dxa"/>
        <w:tblLayout w:type="fixed"/>
        <w:tblCellMar>
          <w:top w:w="0" w:type="dxa"/>
          <w:left w:w="0" w:type="dxa"/>
          <w:bottom w:w="0" w:type="dxa"/>
          <w:right w:w="0" w:type="dxa"/>
        </w:tblCellMar>
      </w:tblPr>
      <w:tblGrid>
        <w:gridCol w:w="2510"/>
        <w:gridCol w:w="60"/>
        <w:gridCol w:w="265"/>
        <w:gridCol w:w="849"/>
        <w:gridCol w:w="83"/>
        <w:gridCol w:w="62"/>
        <w:gridCol w:w="177"/>
        <w:gridCol w:w="773"/>
        <w:gridCol w:w="83"/>
        <w:gridCol w:w="62"/>
        <w:gridCol w:w="130"/>
        <w:gridCol w:w="570"/>
        <w:gridCol w:w="8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5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June 30, 2026</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Gains</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(Losses)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xml:space="preserve">Defined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on</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 Plan</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Hedges</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OCI before reclassifications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OCI</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OCI</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94" w:type="dxa"/>
        <w:jc w:val="left"/>
        <w:tblInd w:w="0" w:type="dxa"/>
        <w:tblLayout w:type="fixed"/>
        <w:tblCellMar>
          <w:top w:w="0" w:type="dxa"/>
          <w:left w:w="0" w:type="dxa"/>
          <w:bottom w:w="0" w:type="dxa"/>
          <w:right w:w="0" w:type="dxa"/>
        </w:tblCellMar>
      </w:tblPr>
      <w:tblGrid>
        <w:gridCol w:w="2510"/>
        <w:gridCol w:w="60"/>
        <w:gridCol w:w="265"/>
        <w:gridCol w:w="849"/>
        <w:gridCol w:w="80"/>
        <w:gridCol w:w="60"/>
        <w:gridCol w:w="171"/>
        <w:gridCol w:w="749"/>
        <w:gridCol w:w="80"/>
        <w:gridCol w:w="60"/>
        <w:gridCol w:w="221"/>
        <w:gridCol w:w="699"/>
        <w:gridCol w:w="80"/>
        <w:gridCol w:w="60"/>
        <w:gridCol w:w="125"/>
        <w:gridCol w:w="545"/>
        <w:gridCol w:w="80"/>
      </w:tblGrid>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June 30, 2025</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Benefit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Swap</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Pension Plan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Derivative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as of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OCL before reclassifications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Amounts reclassified from OCI</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Tax effect of OCI activity</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current period OCI (OCL)</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as of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May 18,</w:t>
      </w:r>
      <w:r>
        <w:rPr>
          <w:rFonts w:ascii="Times New Roman" w:hAnsi="Times New Roman"/>
          <w:caps w:val="false"/>
          <w:smallCaps w:val="false"/>
          <w:sz w:val="20"/>
        </w:rPr>
        <w:t>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entered into a new domestic credit facility with Legacy Corporate Lending, LLC (“Legacy”). This new credit facility includes a new real estate term loan for $11.0 million and a working capital line of credit with a maximum borrowing capacity of $20.0 million subject to a borrowing-base calculation. The new credit facility is secured by all the assets of the Company, excluding NAIE's assets,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prepaid at any time. The new line of credit bears interest at a rate of 4.5% above the Term Secured Overnight Financing Rate (“Term SOFR”), while the real estate term loan was amortized over 15 years and initially bore interest at a fixed rate of 14.0% until such time as Legacy completed an appraisal and any necessary other documentation after which the interest rate reverted to 5.0% above Term SOFR. Effective </w:t>
      </w:r>
      <w:r>
        <w:rPr>
          <w:rStyle w:val="Emphasis"/>
          <w:rFonts w:ascii="Times New Roman" w:hAnsi="Times New Roman"/>
          <w:caps w:val="false"/>
          <w:smallCaps w:val="false"/>
          <w:sz w:val="20"/>
        </w:rPr>
        <w:t xml:space="preserve"> July 14, 2026, </w:t>
      </w:r>
      <w:r>
        <w:rPr>
          <w:rFonts w:ascii="Times New Roman" w:hAnsi="Times New Roman"/>
          <w:caps w:val="false"/>
          <w:smallCaps w:val="false"/>
          <w:sz w:val="20"/>
        </w:rPr>
        <w:t>NAI successfully completed the required appraisal and documentation thereby reducing the interest rate to 5% above Term SOFR. The credit facility also includes a 0.50% unused commitment fee and a </w:t>
      </w:r>
      <w:r>
        <w:rPr>
          <w:rStyle w:val="Emphasis"/>
          <w:rFonts w:ascii="Times New Roman" w:hAnsi="Times New Roman"/>
          <w:caps w:val="false"/>
          <w:smallCaps w:val="false"/>
          <w:sz w:val="20"/>
        </w:rPr>
        <w:t>one</w:t>
      </w:r>
      <w:r>
        <w:rPr>
          <w:rFonts w:ascii="Times New Roman" w:hAnsi="Times New Roman"/>
          <w:caps w:val="false"/>
          <w:smallCaps w:val="false"/>
          <w:sz w:val="20"/>
        </w:rPr>
        <w:t>-time closing fee of 1.0% of the total committed credit amount. The term of this new credit facility is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maturing on </w:t>
      </w:r>
      <w:r>
        <w:rPr>
          <w:rStyle w:val="Emphasis"/>
          <w:rFonts w:ascii="Times New Roman" w:hAnsi="Times New Roman"/>
          <w:caps w:val="false"/>
          <w:smallCaps w:val="false"/>
          <w:sz w:val="20"/>
        </w:rPr>
        <w:t xml:space="preserve">May 18, 2029. </w:t>
      </w:r>
      <w:r>
        <w:rPr>
          <w:rFonts w:ascii="Times New Roman" w:hAnsi="Times New Roman"/>
          <w:caps w:val="false"/>
          <w:smallCaps w:val="false"/>
          <w:sz w:val="20"/>
        </w:rPr>
        <w:t xml:space="preserve">This credit facility contains covenants which restrict our ability to declare dividends to our shareholders and repurchase our common stock under the stock repurchase plan. The credit facility includes a fixed charge coverage ratio covenant requirement as defined in the Loan and Security Agreement that is based on only domestic operations and will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be measured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 xml:space="preserve">We anticipate we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able to comply with the covenant required under the Loan and Security Agreement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due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our largest customer's material downward revisions to their forecast of projected orders and purchases from us during our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 O). We have informed Legacy of our pending non-compliance with the fixed charge coverage ratio, and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a waiver, amendment, or remedy will be available or what the difference in amount, cost or other factors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18, 2026, </w:t>
      </w:r>
      <w:r>
        <w:rPr>
          <w:rFonts w:ascii="Times New Roman" w:hAnsi="Times New Roman"/>
          <w:caps w:val="false"/>
          <w:smallCaps w:val="false"/>
          <w:sz w:val="20"/>
        </w:rPr>
        <w:t>the new credit facility was used to extinguish all our prior indebtedness with Wells Fargo Bank and to repay $10.0 million on our prior line of credit and $8.7 million on our prior term loan thus releasing all our assets formally securing these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 had $17.7 million available of the maximum borrowing capacity under the terms of our new credit line, of which we had outstanding borrowings of $7.7 million. We also owed $10.9 million on the new real estate term loan. As of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we had $9.9 million available of the maximum borrowing capacity on our previous credit facility of which we had outstanding borrowings of $1.9 million. We also owed $8.9 million on the previous term loan. The future debt payments under the new term Note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are as follows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495" w:type="dxa"/>
        <w:jc w:val="left"/>
        <w:tblInd w:w="0" w:type="dxa"/>
        <w:tblLayout w:type="fixed"/>
        <w:tblCellMar>
          <w:top w:w="0" w:type="dxa"/>
          <w:left w:w="0" w:type="dxa"/>
          <w:bottom w:w="0" w:type="dxa"/>
          <w:right w:w="0" w:type="dxa"/>
        </w:tblCellMar>
      </w:tblPr>
      <w:tblGrid>
        <w:gridCol w:w="1805"/>
        <w:gridCol w:w="60"/>
        <w:gridCol w:w="125"/>
        <w:gridCol w:w="335"/>
        <w:gridCol w:w="60"/>
        <w:gridCol w:w="60"/>
        <w:gridCol w:w="125"/>
        <w:gridCol w:w="335"/>
        <w:gridCol w:w="60"/>
        <w:gridCol w:w="60"/>
        <w:gridCol w:w="125"/>
        <w:gridCol w:w="485"/>
        <w:gridCol w:w="60"/>
        <w:gridCol w:w="60"/>
        <w:gridCol w:w="274"/>
        <w:gridCol w:w="571"/>
        <w:gridCol w:w="60"/>
        <w:gridCol w:w="60"/>
        <w:gridCol w:w="125"/>
        <w:gridCol w:w="590"/>
        <w:gridCol w:w="6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Debt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For many years prior to our new credit facility with Legacy, we had a credit line with Wells Fargo Bank, N.A (“Wells Fargo”). The credit line had been amended, modified, and extended several times, most recently on </w:t>
      </w:r>
      <w:r>
        <w:rPr>
          <w:rStyle w:val="Emphasis"/>
          <w:rFonts w:ascii="Times New Roman" w:hAnsi="Times New Roman"/>
          <w:sz w:val="20"/>
        </w:rPr>
        <w:t xml:space="preserve"> June 20, 2025, </w:t>
      </w:r>
      <w:r>
        <w:rPr>
          <w:rFonts w:ascii="Times New Roman" w:hAnsi="Times New Roman"/>
          <w:sz w:val="20"/>
        </w:rPr>
        <w:t>when we entered into a Sixth Amendment to Credit Agreement. The Sixth Amendment waived all prior instances of non-compliance and preemptively waived anticipated non-compliance with covenants in the quarter ending </w:t>
      </w:r>
      <w:r>
        <w:rPr>
          <w:rStyle w:val="Emphasis"/>
          <w:rFonts w:ascii="Times New Roman" w:hAnsi="Times New Roman"/>
          <w:sz w:val="20"/>
        </w:rPr>
        <w:t xml:space="preserve"> June 30, 2025. </w:t>
      </w:r>
      <w:r>
        <w:rPr>
          <w:rFonts w:ascii="Times New Roman" w:hAnsi="Times New Roman"/>
          <w:sz w:val="20"/>
        </w:rPr>
        <w:t>With this amendment, the maximum borrowing limit was reduced to $10.0 million based on a borrowing base calculation and was secured by our accounts receivable and other rights to payment, general intangibles, inventory, equipment, and fixtures. Interest under this credit facility was equal to 3.25% above the applicable Secured Overnight Financing Rate (“SOFR”) and also included an unused commitment fee of 0.375%. We also had a Term Note with Wells Fargo that we entered into on </w:t>
      </w:r>
      <w:r>
        <w:rPr>
          <w:rStyle w:val="Emphasis"/>
          <w:rFonts w:ascii="Times New Roman" w:hAnsi="Times New Roman"/>
          <w:sz w:val="20"/>
        </w:rPr>
        <w:t xml:space="preserve"> August 16, 2021 </w:t>
      </w:r>
      <w:r>
        <w:rPr>
          <w:rFonts w:ascii="Times New Roman" w:hAnsi="Times New Roman"/>
          <w:sz w:val="20"/>
        </w:rPr>
        <w:t>to borrow part of the purchase price of our powder processing and warehouse property in Carlsbad, California. The Term Note had been secured by a </w:t>
      </w:r>
      <w:r>
        <w:rPr>
          <w:rStyle w:val="Emphasis"/>
          <w:rFonts w:ascii="Times New Roman" w:hAnsi="Times New Roman"/>
          <w:sz w:val="20"/>
        </w:rPr>
        <w:t>first</w:t>
      </w:r>
      <w:r>
        <w:rPr>
          <w:rFonts w:ascii="Times New Roman" w:hAnsi="Times New Roman"/>
          <w:sz w:val="20"/>
        </w:rPr>
        <w:t> mortgage on that property. The Term Note was in the original principal amount of $10.0 million and was a seven-year note with payments fully amortized based on a </w:t>
      </w:r>
      <w:r>
        <w:rPr>
          <w:rStyle w:val="Emphasis"/>
          <w:rFonts w:ascii="Times New Roman" w:hAnsi="Times New Roman"/>
          <w:sz w:val="20"/>
        </w:rPr>
        <w:t>twenty-five</w:t>
      </w:r>
      <w:r>
        <w:rPr>
          <w:rFonts w:ascii="Times New Roman" w:hAnsi="Times New Roman"/>
          <w:sz w:val="20"/>
        </w:rPr>
        <w:t> year assumed term. Amounts outstanding on this note during the term of the agreement bore interest at the rate of 1.8% above the SOFR rolling </w:t>
      </w:r>
      <w:r>
        <w:rPr>
          <w:rStyle w:val="Emphasis"/>
          <w:rFonts w:ascii="Times New Roman" w:hAnsi="Times New Roman"/>
          <w:sz w:val="20"/>
        </w:rPr>
        <w:t>30</w:t>
      </w:r>
      <w:r>
        <w:rPr>
          <w:rFonts w:ascii="Times New Roman" w:hAnsi="Times New Roman"/>
          <w:sz w:val="20"/>
        </w:rPr>
        <w:t>-day average. For the </w:t>
      </w:r>
      <w:r>
        <w:rPr>
          <w:rStyle w:val="Emphasis"/>
          <w:rFonts w:ascii="Times New Roman" w:hAnsi="Times New Roman"/>
          <w:sz w:val="20"/>
        </w:rPr>
        <w:t>three</w:t>
      </w:r>
      <w:r>
        <w:rPr>
          <w:rFonts w:ascii="Times New Roman" w:hAnsi="Times New Roman"/>
          <w:sz w:val="20"/>
        </w:rPr>
        <w:t> and </w:t>
      </w:r>
      <w:r>
        <w:rPr>
          <w:rStyle w:val="Emphasis"/>
          <w:rFonts w:ascii="Times New Roman" w:hAnsi="Times New Roman"/>
          <w:sz w:val="20"/>
        </w:rPr>
        <w:t>nine</w:t>
      </w:r>
      <w:r>
        <w:rPr>
          <w:rFonts w:ascii="Times New Roman" w:hAnsi="Times New Roman"/>
          <w:sz w:val="20"/>
        </w:rPr>
        <w:t> months ended </w:t>
      </w:r>
      <w:r>
        <w:rPr>
          <w:rStyle w:val="Emphasis"/>
          <w:rFonts w:ascii="Times New Roman" w:hAnsi="Times New Roman"/>
          <w:sz w:val="20"/>
        </w:rPr>
        <w:t xml:space="preserve"> March 31, 2026, </w:t>
      </w:r>
      <w:r>
        <w:rPr>
          <w:rFonts w:ascii="Times New Roman" w:hAnsi="Times New Roman"/>
          <w:sz w:val="20"/>
        </w:rPr>
        <w:t>we were </w:t>
      </w:r>
      <w:r>
        <w:rPr>
          <w:rStyle w:val="Emphasis"/>
          <w:rFonts w:ascii="Times New Roman" w:hAnsi="Times New Roman"/>
          <w:sz w:val="20"/>
        </w:rPr>
        <w:t>not</w:t>
      </w:r>
      <w:r>
        <w:rPr>
          <w:rFonts w:ascii="Times New Roman" w:hAnsi="Times New Roman"/>
          <w:sz w:val="20"/>
        </w:rPr>
        <w:t> in compliance with the maximum net loss and fixed charge coverage ratio covenants of the Wells Fargo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We also have historically had a foreign currency hedging credit line with Wells Fargo to hedge foreign currency exposure up to </w:t>
      </w:r>
      <w:r>
        <w:rPr>
          <w:rStyle w:val="Emphasis"/>
          <w:rFonts w:ascii="Times New Roman" w:hAnsi="Times New Roman"/>
          <w:caps w:val="false"/>
          <w:smallCaps w:val="false"/>
          <w:sz w:val="20"/>
        </w:rPr>
        <w:t>12</w:t>
      </w:r>
      <w:r>
        <w:rPr>
          <w:rFonts w:ascii="Times New Roman" w:hAnsi="Times New Roman"/>
          <w:caps w:val="false"/>
          <w:smallCaps w:val="false"/>
          <w:sz w:val="20"/>
        </w:rPr>
        <w:t> months in the future. As part of the above noted refinancing, Wells Fargo required us to extinguish and settle our remaining outstanding foreign currency hedge contracts. As a result, we net settled our remaining contracts as of </w:t>
      </w:r>
      <w:r>
        <w:rPr>
          <w:rStyle w:val="Emphasis"/>
          <w:rFonts w:ascii="Times New Roman" w:hAnsi="Times New Roman"/>
          <w:caps w:val="false"/>
          <w:smallCaps w:val="false"/>
          <w:sz w:val="20"/>
        </w:rPr>
        <w:t xml:space="preserve"> May 11, 2026 </w:t>
      </w:r>
      <w:r>
        <w:rPr>
          <w:rFonts w:ascii="Times New Roman" w:hAnsi="Times New Roman"/>
          <w:caps w:val="false"/>
          <w:smallCaps w:val="false"/>
          <w:sz w:val="20"/>
        </w:rPr>
        <w:t>resulting in a net settlement loss of $0.2 million, and we terminated our hedging line of credit with Wells Fargo. We are currently seeking a replacement hedging counterparty and are in discussions with several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17, 2026, </w:t>
      </w:r>
      <w:r>
        <w:rPr>
          <w:rFonts w:ascii="Times New Roman" w:hAnsi="Times New Roman"/>
          <w:caps w:val="false"/>
          <w:smallCaps w:val="false"/>
          <w:sz w:val="20"/>
        </w:rPr>
        <w:t xml:space="preserve">our subsidiary NAIE entered into a new Credit Agreement with UBS Switzerland AG (“UBS”). This new Credit Agreement is a line of credit with maximum borrowing capacity of CHF 2.0 million secured by NAIE’s accounts receivables. Variable rates of interest are determined by a currency-specific base rate plus a margin to be provided by UBS upon our request.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NAIE was in compliance with the Credit Agreement. NAIE paid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facility origination fee of CHF 15,000 to bind the Credit Agreement for an indefinite term. The Credit Agreement with UBS is filed as Exhibit </w:t>
      </w:r>
      <w:r>
        <w:rPr>
          <w:rStyle w:val="Emphasis"/>
          <w:rFonts w:ascii="Times New Roman" w:hAnsi="Times New Roman"/>
          <w:caps w:val="false"/>
          <w:smallCaps w:val="false"/>
          <w:sz w:val="20"/>
        </w:rPr>
        <w:t>10.49</w:t>
      </w:r>
      <w:r>
        <w:rPr>
          <w:rFonts w:ascii="Times New Roman" w:hAnsi="Times New Roman"/>
          <w:caps w:val="false"/>
          <w:smallCaps w:val="false"/>
          <w:sz w:val="20"/>
        </w:rPr>
        <w:t xml:space="preserve"> to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G.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recorded U.S.-based domestic tax expense of $0.1 million and foreign tax expense of $0.3 million. During fiscal </w:t>
      </w:r>
      <w:r>
        <w:rPr>
          <w:rStyle w:val="Emphasis"/>
          <w:rFonts w:ascii="Times New Roman" w:hAnsi="Times New Roman"/>
          <w:caps w:val="false"/>
          <w:smallCaps w:val="false"/>
          <w:sz w:val="20"/>
        </w:rPr>
        <w:t>2025</w:t>
      </w:r>
      <w:r>
        <w:rPr>
          <w:rFonts w:ascii="Times New Roman" w:hAnsi="Times New Roman"/>
          <w:caps w:val="false"/>
          <w:smallCaps w:val="false"/>
          <w:sz w:val="20"/>
        </w:rPr>
        <w:t>, we recorded U.S.-based domestic tax benefit of $2.7 million and foreign tax expense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recorded a valuation allowance against net domestic deferred income tax assets of $5.6 million, representing the amount of our deferred income tax assets in excess of our domestic deferred income tax liabilities. We recorded the valuation allowance because management was unable to conclude, in light of the cumulative loss we have realized related to our US-based operations in recent years, that realization of the net deferred income tax asset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valuation allowance recorded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primarily related to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changes in other deferred tax items recognized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As a result of the recognition of these valuation adjustments, we have a $10.4 million net deferred tax asset offset by a valuation allowance of $10.4 million resulting in a net deferred tax asset of $0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This valuation allowance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effect on the tax expense and related liability recorded for operating income recognized by NAIE 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geographical breakdown of loss before income taxes (in thousands):</w:t>
      </w:r>
    </w:p>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2480"/>
        <w:gridCol w:w="60"/>
        <w:gridCol w:w="125"/>
        <w:gridCol w:w="650"/>
        <w:gridCol w:w="80"/>
        <w:gridCol w:w="60"/>
        <w:gridCol w:w="125"/>
        <w:gridCol w:w="650"/>
        <w:gridCol w:w="8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w:t>
            </w:r>
          </w:p>
        </w:tc>
        <w:tc>
          <w:tcPr>
            <w:tcW w:w="8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provision (benefit) for income taxes for the years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2660"/>
        <w:gridCol w:w="60"/>
        <w:gridCol w:w="125"/>
        <w:gridCol w:w="590"/>
        <w:gridCol w:w="80"/>
        <w:gridCol w:w="60"/>
        <w:gridCol w:w="125"/>
        <w:gridCol w:w="545"/>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6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Valuation allowance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10,395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4,815</w:t>
            </w:r>
          </w:p>
        </w:tc>
        <w:tc>
          <w:tcPr>
            <w:tcW w:w="80" w:type="dxa"/>
            <w:tcBorders/>
            <w:shd w:fill="FFFFFF" w:val="clear"/>
            <w:vAlign w:val="center"/>
          </w:tcPr>
          <w:p>
            <w:pPr>
              <w:pStyle w:val="TableContents"/>
              <w:bidi w:val="0"/>
              <w:spacing w:before="0" w:after="0"/>
              <w:jc w:val="left"/>
              <w:rPr/>
            </w:pPr>
            <w:r>
              <w:rPr/>
              <w:t> </w:t>
            </w:r>
          </w:p>
        </w:tc>
      </w:tr>
      <w:tr>
        <w:trPr/>
        <w:tc>
          <w:tcPr>
            <w:tcW w:w="2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3,549</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provision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Deferred income taxes reflect the net effect of temporary differences between the carrying amount of assets and liabilities for financial reporting purposes and the amounts used for income tax purposes. Net deferred tax assets and deferred tax liabilities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3560"/>
        <w:gridCol w:w="60"/>
        <w:gridCol w:w="125"/>
        <w:gridCol w:w="650"/>
        <w:gridCol w:w="80"/>
        <w:gridCol w:w="60"/>
        <w:gridCol w:w="125"/>
        <w:gridCol w:w="590"/>
        <w:gridCol w:w="80"/>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Inventory capitalization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Inventory reserves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Lease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8,678</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Net operating loss carry forward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2,151</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Capitalized research and experimentation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Accrued contingent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Tax credit carry forward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Pension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Accrued settlement of legal proceeding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302</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gross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14,347</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Assets held for sale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Withholding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Lease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6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Employee retention tax credit refund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6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(9,533</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5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Valuation allowance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(10,395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(4,814</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6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xml:space="preserve">, the Company had U.S. federal net operating loss carryforwards of $12.2 million which </w:t>
      </w:r>
      <w:r>
        <w:rPr>
          <w:rStyle w:val="Emphasis"/>
          <w:rFonts w:ascii="Times New Roman;Times;serif" w:hAnsi="Times New Roman;Times;serif"/>
          <w:sz w:val="20"/>
        </w:rPr>
        <w:t xml:space="preserve">may </w:t>
      </w:r>
      <w:r>
        <w:rPr>
          <w:rFonts w:ascii="Times New Roman;Times;serif" w:hAnsi="Times New Roman;Times;serif"/>
          <w:sz w:val="20"/>
        </w:rPr>
        <w:t>be carried forward indefinitely. The Company has state net operating loss carryforwards of $9.6 million, which, if unutilized, will begin to expire beginning in fiscal year </w:t>
      </w:r>
      <w:r>
        <w:rPr>
          <w:rStyle w:val="Emphasis"/>
          <w:rFonts w:ascii="Times New Roman;Times;serif" w:hAnsi="Times New Roman;Times;serif"/>
          <w:sz w:val="20"/>
        </w:rPr>
        <w:t>2031.</w:t>
      </w:r>
      <w:r>
        <w:rPr>
          <w:rFonts w:ascii="Times New Roman;Times;serif" w:hAnsi="Times New Roman;Times;serif"/>
          <w:sz w:val="20"/>
        </w:rPr>
        <w:t xml:space="preserve"> The Company has federal and state tax credits of $1.7 million, which, if unutilized, will begin to expire in fiscal year </w:t>
      </w:r>
      <w:r>
        <w:rPr>
          <w:rStyle w:val="Emphasis"/>
          <w:rFonts w:ascii="Times New Roman;Times;serif" w:hAnsi="Times New Roman;Times;serif"/>
          <w:sz w:val="20"/>
        </w:rPr>
        <w:t>2041.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Pursuant to Internal Revenue Code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383,</w:t>
      </w:r>
      <w:r>
        <w:rPr>
          <w:rFonts w:ascii="Times New Roman" w:hAnsi="Times New Roman"/>
          <w:caps w:val="false"/>
          <w:smallCaps w:val="false"/>
          <w:sz w:val="20"/>
        </w:rPr>
        <w:t xml:space="preserve"> annual use of our net operating loss carryforwards and tax credit carryforwards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limited as a result of cumulative changes of ownership of more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that occur within a </w:t>
      </w:r>
      <w:r>
        <w:rPr>
          <w:rStyle w:val="Emphasis"/>
          <w:rFonts w:ascii="Times New Roman" w:hAnsi="Times New Roman"/>
          <w:caps w:val="false"/>
          <w:smallCaps w:val="false"/>
          <w:sz w:val="20"/>
        </w:rPr>
        <w:t>three</w:t>
      </w:r>
      <w:r>
        <w:rPr>
          <w:rFonts w:ascii="Times New Roman" w:hAnsi="Times New Roman"/>
          <w:caps w:val="false"/>
          <w:smallCaps w:val="false"/>
          <w:sz w:val="20"/>
        </w:rPr>
        <w:t>-year period, resulting in a change of control of our company. We believe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all net operating losses will be materially available to offset future taxable income. Future changes in ownership could impact the ability to utilize net operating losses and credits available to offset future taxable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are subject to taxation in the U.S., Switzerland and various U.S. state jurisdictions. Our tax years for the fiscal year ended </w:t>
      </w:r>
      <w:r>
        <w:rPr>
          <w:rStyle w:val="Emphasis"/>
          <w:rFonts w:ascii="Times New Roman" w:hAnsi="Times New Roman"/>
          <w:caps w:val="false"/>
          <w:smallCaps w:val="false"/>
          <w:sz w:val="20"/>
        </w:rPr>
        <w:t>June 30, 2021 </w:t>
      </w:r>
      <w:r>
        <w:rPr>
          <w:rFonts w:ascii="Times New Roman" w:hAnsi="Times New Roman"/>
          <w:caps w:val="false"/>
          <w:smallCaps w:val="false"/>
          <w:sz w:val="20"/>
        </w:rPr>
        <w:t xml:space="preserve">and forward are subject to examination by the U.S. tax authorities. Our tax years for the fiscal years ended </w:t>
      </w:r>
      <w:r>
        <w:rPr>
          <w:rStyle w:val="Emphasis"/>
          <w:rFonts w:ascii="Times New Roman" w:hAnsi="Times New Roman"/>
          <w:caps w:val="false"/>
          <w:smallCaps w:val="false"/>
          <w:sz w:val="20"/>
        </w:rPr>
        <w:t>June 30, 2020 </w:t>
      </w:r>
      <w:r>
        <w:rPr>
          <w:rFonts w:ascii="Times New Roman" w:hAnsi="Times New Roman"/>
          <w:caps w:val="false"/>
          <w:smallCaps w:val="false"/>
          <w:sz w:val="20"/>
        </w:rPr>
        <w:t xml:space="preserve">and forward are subject to examination by the state tax authorities. Our tax years for the fiscal year ended </w:t>
      </w:r>
      <w:r>
        <w:rPr>
          <w:rStyle w:val="Emphasis"/>
          <w:rFonts w:ascii="Times New Roman" w:hAnsi="Times New Roman"/>
          <w:caps w:val="false"/>
          <w:smallCaps w:val="false"/>
          <w:sz w:val="20"/>
        </w:rPr>
        <w:t>June 30, 2023 </w:t>
      </w:r>
      <w:r>
        <w:rPr>
          <w:rFonts w:ascii="Times New Roman" w:hAnsi="Times New Roman"/>
          <w:caps w:val="false"/>
          <w:smallCaps w:val="false"/>
          <w:sz w:val="20"/>
        </w:rPr>
        <w:t xml:space="preserve">and forward are subject to assessment by the Swiss tax authorities. We believe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all significant tax positions taken to date would be sustained by the relevant taxing authorities.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active taxing authority examinations in any of our major tax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NAIE’s effective tax rate for the fiscal year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for Swiss federal, cantonal and communal taxes is approximately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part of the Tax Cuts and Jobs Act of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(the Tax Act), we were required to recognize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deemed repatriation transition tax during the fiscal year ended </w:t>
      </w:r>
      <w:r>
        <w:rPr>
          <w:rStyle w:val="Emphasis"/>
          <w:rFonts w:ascii="Times New Roman" w:hAnsi="Times New Roman"/>
          <w:caps w:val="false"/>
          <w:smallCaps w:val="false"/>
          <w:sz w:val="20"/>
        </w:rPr>
        <w:t xml:space="preserve">June 30, 2018 </w:t>
      </w:r>
      <w:r>
        <w:rPr>
          <w:rFonts w:ascii="Times New Roman" w:hAnsi="Times New Roman"/>
          <w:caps w:val="false"/>
          <w:smallCaps w:val="false"/>
          <w:sz w:val="20"/>
        </w:rPr>
        <w:t>based on our total post-</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earnings and profits (E&amp;P) from our Swiss subsidiary, NAIE. This accumulated E&amp;P amount has historically been considered permanently reinvested thereby allowing us to defer recognizing any U.S. income tax on the amount. We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consider undistributed foreign earnings from NAIE as of </w:t>
      </w:r>
      <w:r>
        <w:rPr>
          <w:rStyle w:val="Emphasis"/>
          <w:rFonts w:ascii="Times New Roman" w:hAnsi="Times New Roman"/>
          <w:caps w:val="false"/>
          <w:smallCaps w:val="false"/>
          <w:sz w:val="20"/>
        </w:rPr>
        <w:t xml:space="preserve">December 31, 2017 </w:t>
      </w:r>
      <w:r>
        <w:rPr>
          <w:rFonts w:ascii="Times New Roman" w:hAnsi="Times New Roman"/>
          <w:caps w:val="false"/>
          <w:smallCaps w:val="false"/>
          <w:sz w:val="20"/>
        </w:rPr>
        <w:t xml:space="preserve">as indefinitely reinvested. We consider earnings accumulated subsequent to </w:t>
      </w:r>
      <w:r>
        <w:rPr>
          <w:rStyle w:val="Emphasis"/>
          <w:rFonts w:ascii="Times New Roman" w:hAnsi="Times New Roman"/>
          <w:caps w:val="false"/>
          <w:smallCaps w:val="false"/>
          <w:sz w:val="20"/>
        </w:rPr>
        <w:t xml:space="preserve">December 31, 2017 </w:t>
      </w:r>
      <w:r>
        <w:rPr>
          <w:rFonts w:ascii="Times New Roman" w:hAnsi="Times New Roman"/>
          <w:caps w:val="false"/>
          <w:smallCaps w:val="false"/>
          <w:sz w:val="20"/>
        </w:rPr>
        <w:t>as indefinitely reinvested.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tax years commencing on or after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the Tax Cuts and Jobs Act of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also eliminated the ability to immediately deduct research and development costs. Instead, taxpayers were mandated to capitalize these expenses and amortize them over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for research conducted within the United States and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years for research conducted abroad, as stipulated in IRC Section </w:t>
      </w:r>
      <w:r>
        <w:rPr>
          <w:rStyle w:val="Emphasis"/>
          <w:rFonts w:ascii="Times New Roman" w:hAnsi="Times New Roman"/>
          <w:caps w:val="false"/>
          <w:smallCaps w:val="false"/>
          <w:sz w:val="20"/>
        </w:rPr>
        <w:t>174.</w:t>
      </w:r>
      <w:r>
        <w:rPr>
          <w:rFonts w:ascii="Times New Roman" w:hAnsi="Times New Roman"/>
          <w:caps w:val="false"/>
          <w:smallCaps w:val="false"/>
          <w:sz w:val="20"/>
        </w:rPr>
        <w:t xml:space="preserve"> Although the requirements of the Tax Cuts and Jobs Act of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are applicable for our fiscal year ended on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One Big Beautiful Bill Act was voted into law by Congress 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and restores the immediate expensing of domestic research and development expenses while making permanent the capitalization and amortization rules of research and development conducted abroad. The One Big Beautiful Bill Act was effective beginning in our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its impact is reflected in the changes in domestic other deferred tax items recognized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fully offset by a valuation allowance recorded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NAIE declared a dividend to NAI of $3.1 million, which was paid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As part of these dividends, we were required to pay a 5% Swiss withholding tax totaling $0.2 million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which is recorded in the current tax provision.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dividends to NAI were declared by NAIE in fiscal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A reconciliation of the statutory federal income tax rate to the effective consolidated tax rate for the year ended </w:t>
      </w:r>
      <w:r>
        <w:rPr>
          <w:rStyle w:val="Emphasis"/>
          <w:rFonts w:ascii="Times New Roman;Times;serif" w:hAnsi="Times New Roman;Times;serif"/>
          <w:sz w:val="20"/>
        </w:rPr>
        <w:t xml:space="preserve"> June 30, 2026</w:t>
      </w:r>
      <w:r>
        <w:rPr>
          <w:rFonts w:ascii="Times New Roman;Times;serif" w:hAnsi="Times New Roman;Times;serif"/>
          <w:sz w:val="20"/>
        </w:rPr>
        <w:t xml:space="preserve">, after adoption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is as follows (dollars in thousands):</w:t>
      </w:r>
    </w:p>
    <w:p>
      <w:pPr>
        <w:pStyle w:val="TextBody"/>
        <w:bidi w:val="0"/>
        <w:spacing w:before="0" w:after="0"/>
        <w:ind w:left="0" w:right="0" w:hanging="0"/>
        <w:jc w:val="left"/>
        <w:rPr/>
      </w:pPr>
      <w:r>
        <w:rPr/>
        <w:t> </w:t>
      </w:r>
    </w:p>
    <w:tbl>
      <w:tblPr>
        <w:tblW w:w="9435" w:type="dxa"/>
        <w:jc w:val="left"/>
        <w:tblInd w:w="0" w:type="dxa"/>
        <w:tblLayout w:type="fixed"/>
        <w:tblCellMar>
          <w:top w:w="0" w:type="dxa"/>
          <w:left w:w="0" w:type="dxa"/>
          <w:bottom w:w="0" w:type="dxa"/>
          <w:right w:w="0" w:type="dxa"/>
        </w:tblCellMar>
      </w:tblPr>
      <w:tblGrid>
        <w:gridCol w:w="4610"/>
        <w:gridCol w:w="60"/>
        <w:gridCol w:w="125"/>
        <w:gridCol w:w="3245"/>
        <w:gridCol w:w="80"/>
        <w:gridCol w:w="60"/>
        <w:gridCol w:w="60"/>
        <w:gridCol w:w="950"/>
        <w:gridCol w:w="245"/>
      </w:tblGrid>
      <w:tr>
        <w:trPr/>
        <w:tc>
          <w:tcPr>
            <w:tcW w:w="46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95"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461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24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Reconciliation to income tax provision</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Percentage</w:t>
            </w:r>
          </w:p>
        </w:tc>
        <w:tc>
          <w:tcPr>
            <w:tcW w:w="245" w:type="dxa"/>
            <w:tcBorders/>
            <w:shd w:fill="CCEEFF" w:val="clear"/>
            <w:vAlign w:val="center"/>
          </w:tcPr>
          <w:p>
            <w:pPr>
              <w:pStyle w:val="TableContents"/>
              <w:bidi w:val="0"/>
              <w:spacing w:before="0" w:after="0"/>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statutory federal income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income tax expense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2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Permanent differences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2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rate differential (2)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2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2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Global intangible low-taxed income (GILTI)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2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2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98"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single state or local jurisdiction accounted for more than </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 xml:space="preserve"> of the total income tax provision. Our state tax expense is attributed primarily to our operations in California.</w:t>
            </w:r>
          </w:p>
        </w:tc>
      </w:tr>
    </w:tbl>
    <w:tbl>
      <w:tblPr>
        <w:tblW w:w="5350" w:type="dxa"/>
        <w:jc w:val="left"/>
        <w:tblInd w:w="0" w:type="dxa"/>
        <w:tblLayout w:type="fixed"/>
        <w:tblCellMar>
          <w:top w:w="0" w:type="dxa"/>
          <w:left w:w="0" w:type="dxa"/>
          <w:bottom w:w="0" w:type="dxa"/>
          <w:right w:w="0" w:type="dxa"/>
        </w:tblCellMar>
      </w:tblPr>
      <w:tblGrid>
        <w:gridCol w:w="245"/>
        <w:gridCol w:w="510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51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taxes are attributed to NAIE operations in Switzerland.</w:t>
            </w:r>
          </w:p>
        </w:tc>
      </w:tr>
    </w:tbl>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659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Represents other reconciling items less than </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 xml:space="preserve"> of the total income tax provision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 reconciliation of the statutory federal income tax rate of 21% to the effective consolidated tax rate for the year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prior to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is as follows (dollars in thousands):</w:t>
      </w:r>
    </w:p>
    <w:p>
      <w:pPr>
        <w:pStyle w:val="TextBody"/>
        <w:bidi w:val="0"/>
        <w:spacing w:before="0" w:after="0"/>
        <w:ind w:left="0" w:right="0" w:hanging="0"/>
        <w:jc w:val="left"/>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4790"/>
        <w:gridCol w:w="60"/>
        <w:gridCol w:w="125"/>
        <w:gridCol w:w="545"/>
        <w:gridCol w:w="245"/>
      </w:tblGrid>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computed at statutory federal income tax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Permanent differences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rate differential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24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Global intangible low-taxed income (GILTI)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24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to provision - differences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24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4,815</w:t>
            </w:r>
          </w:p>
        </w:tc>
        <w:tc>
          <w:tcPr>
            <w:tcW w:w="24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as reported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w:t>
            </w:r>
          </w:p>
        </w:tc>
        <w:tc>
          <w:tcPr>
            <w:tcW w:w="24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our U.S. federal statutory rate to be 21% for fiscal years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Cash paid during the fiscal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for income taxes, net of refunds is as follows:</w:t>
      </w:r>
    </w:p>
    <w:p>
      <w:pPr>
        <w:pStyle w:val="TextBody"/>
        <w:bidi w:val="0"/>
        <w:spacing w:before="0" w:after="0"/>
        <w:ind w:left="0" w:right="0" w:hanging="0"/>
        <w:jc w:val="left"/>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5120"/>
        <w:gridCol w:w="60"/>
        <w:gridCol w:w="125"/>
        <w:gridCol w:w="335"/>
        <w:gridCol w:w="60"/>
      </w:tblGrid>
      <w:tr>
        <w:trPr/>
        <w:tc>
          <w:tcPr>
            <w:tcW w:w="5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6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paid during the year for income taxes, net of refunds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H. Employee Benefit Plans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401</w:t>
      </w:r>
      <w:r>
        <w:rPr>
          <w:rFonts w:ascii="Times New Roman" w:hAnsi="Times New Roman"/>
          <w:b/>
          <w:caps w:val="false"/>
          <w:smallCaps w:val="false"/>
          <w:sz w:val="20"/>
        </w:rPr>
        <w:t>(k)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We have a profit-sharing plan pursuant to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of the Code, whereby participants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contribute a percentage of compensation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excess of the maximum allowed under the Code. Effective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all employees became eligible to participate in the plan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 the month following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of employment. Also effective,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we match 50%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6% of a participant’s compensation contributed to the plan. The total contributions under the plan charged to income from operations totaled $0.4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$0.5 million for fiscal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Additionally, we have a discretionary profit-sharing plan pursuant to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of the Code, whereby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contribute an additional percentage of compensation. Employees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contribute to the plan to receive the discretionary profit-sharing contribution. We did not make any discretionary profit-sharing contributions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or in fiscal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We have a “Cafeteria Plan” pursuant to Section </w:t>
      </w:r>
      <w:r>
        <w:rPr>
          <w:rStyle w:val="Emphasis"/>
          <w:rFonts w:ascii="Times New Roman" w:hAnsi="Times New Roman"/>
          <w:caps w:val="false"/>
          <w:smallCaps w:val="false"/>
          <w:sz w:val="20"/>
        </w:rPr>
        <w:t>125</w:t>
      </w:r>
      <w:r>
        <w:rPr>
          <w:rFonts w:ascii="Times New Roman" w:hAnsi="Times New Roman"/>
          <w:caps w:val="false"/>
          <w:smallCaps w:val="false"/>
          <w:sz w:val="20"/>
        </w:rPr>
        <w:t xml:space="preserve"> of the Code, whereby health care benefits are provided for active employees through insurance companies. Substantially all active full-time employees are eligible for these benefits. We recognize the cost of providing these benefits by expensing the annual premiums, which are based on benefits paid during the year. The premiums expensed to results from operations for these benefits totaled $1.6 million for the fiscal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for the fiscal year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July 16, 2020, </w:t>
      </w:r>
      <w:r>
        <w:rPr>
          <w:rFonts w:ascii="Times New Roman" w:hAnsi="Times New Roman"/>
          <w:caps w:val="false"/>
          <w:smallCaps w:val="false"/>
          <w:sz w:val="20"/>
        </w:rPr>
        <w:t xml:space="preserve">the Board of Directors approved and adopted a Non-Qualified Incentive Plan (the “Incentive Plan”). Pursuant to the Incentive Plan, the Human Resources Committee and the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make deferred cash payments or other cash awards (“Awards”) to directors, officers, employees and eligible consultants of NAI (“Participants”). These Awards are made subject to conditions precedent that must be met before NAI is obligated to make the payment. The purpose of the Incentive Plan is to enhance the long-term stockholder value of NAI by providing the Human Resources Committee and the Board of Directors the ability to make deferred cash payments or other cash awards to encourage Participants to serve NAI or to remain in the service of NAI, and to assist NAI to achieve results determined by the Human Resources Committee or the Board of Directors to be in NAI's best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Incentive Plan authorizes the Human Resources Committee or the Board of Directors to grant to, and administer, unsecured and deferred cash Awards to Participants and to subject each Award to whatever conditions are determined appropriate by the Human Resources Committee or the Board of Directors. The terms of each Award, including the amount and any conditions that must be met to be entitled to payment of the Award are set forth in an Award Agreement between each Participant and NAI. The Incentive Plan provides the Board of Directors with the discretion to set aside assets to fund the Incentive Plan although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done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granted a total of $0.9 million in deferred cash awards to members of our Board of Directors and certain key members of our management team. During the year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we granted a total of $0.2 million in deferred cash awards to members of our Board of Directors. Each deferred cash award provides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equal cash payments to the applicable Participant to be paid approximately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 anniversaries of the date of the grant of such Awards, (the “Award Date”); provided on the date of each payment (the “Payment Date”), the Participant has been since the Award Date, and continues to be through the Payment Date, a member of our Board of Directors or an employee of NAI. In the event a Participant ceases to be an employee of NAI or a member of our Board of Directors prior to any Payment 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payments shall be made in connection with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deferred cash award forfeitures were $0.1 million, and there were none during the fiscal year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Defined Benefit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formerly sponsored a defined benefit pension plan, which provides retirement benefits to employees based generally on years of service and compensation during the last five years before retirement. Effective </w:t>
      </w:r>
      <w:r>
        <w:rPr>
          <w:rStyle w:val="Emphasis"/>
          <w:rFonts w:ascii="Times New Roman" w:hAnsi="Times New Roman"/>
          <w:caps w:val="false"/>
          <w:smallCaps w:val="false"/>
          <w:sz w:val="20"/>
        </w:rPr>
        <w:t>June 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1999,</w:t>
      </w:r>
      <w:r>
        <w:rPr>
          <w:rFonts w:ascii="Times New Roman" w:hAnsi="Times New Roman"/>
          <w:caps w:val="false"/>
          <w:smallCaps w:val="false"/>
          <w:sz w:val="20"/>
        </w:rPr>
        <w:t xml:space="preserve"> we adopted an amendment to freeze benefit accruals to the participants. Annually, we contribute an amount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the minimum funding requirements of the Employee Retirement Income Security Act of </w:t>
      </w:r>
      <w:r>
        <w:rPr>
          <w:rStyle w:val="Emphasis"/>
          <w:rFonts w:ascii="Times New Roman" w:hAnsi="Times New Roman"/>
          <w:caps w:val="false"/>
          <w:smallCaps w:val="false"/>
          <w:sz w:val="20"/>
        </w:rPr>
        <w:t>1974</w:t>
      </w:r>
      <w:r>
        <w:rPr>
          <w:rFonts w:ascii="Times New Roman" w:hAnsi="Times New Roman"/>
          <w:caps w:val="false"/>
          <w:smallCaps w:val="false"/>
          <w:sz w:val="20"/>
        </w:rPr>
        <w:t xml:space="preserve"> nor more than the maximum tax-deductible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Disclosure of Funded Status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sets forth the defined benefit pension plan’s funded status and amount recognized in our consolidated balance sheets at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745" w:type="dxa"/>
        <w:jc w:val="left"/>
        <w:tblInd w:w="0" w:type="dxa"/>
        <w:tblLayout w:type="fixed"/>
        <w:tblCellMar>
          <w:top w:w="0" w:type="dxa"/>
          <w:left w:w="0" w:type="dxa"/>
          <w:bottom w:w="0" w:type="dxa"/>
          <w:right w:w="0" w:type="dxa"/>
        </w:tblCellMar>
      </w:tblPr>
      <w:tblGrid>
        <w:gridCol w:w="6245"/>
        <w:gridCol w:w="60"/>
        <w:gridCol w:w="125"/>
        <w:gridCol w:w="485"/>
        <w:gridCol w:w="80"/>
        <w:gridCol w:w="60"/>
        <w:gridCol w:w="125"/>
        <w:gridCol w:w="485"/>
        <w:gridCol w:w="80"/>
      </w:tblGrid>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Change in Benefit Obligation: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Benefit obligation at beginning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w:t>
            </w:r>
          </w:p>
        </w:tc>
        <w:tc>
          <w:tcPr>
            <w:tcW w:w="8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Interest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Actuarial (loss) gain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Benefits paid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Benefit obligation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w:t>
            </w:r>
          </w:p>
        </w:tc>
        <w:tc>
          <w:tcPr>
            <w:tcW w:w="8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Change in Plan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Fair value of plan assets at beginning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w:t>
            </w:r>
          </w:p>
        </w:tc>
        <w:tc>
          <w:tcPr>
            <w:tcW w:w="8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Actual return on plan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8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Employer contributions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w:t>
            </w:r>
          </w:p>
        </w:tc>
        <w:tc>
          <w:tcPr>
            <w:tcW w:w="8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Benefits paid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Fair value of plan assets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w:t>
            </w:r>
          </w:p>
        </w:tc>
        <w:tc>
          <w:tcPr>
            <w:tcW w:w="8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Reconciliation of Funded Status: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Difference between benefit obligation and fair value of plan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Unrecognized net actuarial loss in 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8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amount recognized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Projected benefit obligation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w:t>
            </w:r>
          </w:p>
        </w:tc>
        <w:tc>
          <w:tcPr>
            <w:tcW w:w="8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Accumulated benefit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w:t>
            </w:r>
          </w:p>
        </w:tc>
        <w:tc>
          <w:tcPr>
            <w:tcW w:w="8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Fair value of plan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weighted-average discount rate used for determining the projected benefit obligations for the defined benefit pension plan was 5.42% for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5.29% during the year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Net Periodic Benefit Cost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components included in the defined benefit pension plan’s net periodic benefit expense for the fiscal years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480"/>
        <w:gridCol w:w="60"/>
        <w:gridCol w:w="132"/>
        <w:gridCol w:w="308"/>
        <w:gridCol w:w="80"/>
        <w:gridCol w:w="60"/>
        <w:gridCol w:w="132"/>
        <w:gridCol w:w="308"/>
        <w:gridCol w:w="8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Recognized actuarial loss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Settlement loss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periodic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In the fiscal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we contributed $49,000 to our defined benefit pension plan, and in the fiscal year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we contributed $48,000 to our defined benefit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summary of changes in plan assets and benefit obligations recognized in other comprehensive income (loss) (in thousands): </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6830"/>
        <w:gridCol w:w="60"/>
        <w:gridCol w:w="125"/>
        <w:gridCol w:w="395"/>
        <w:gridCol w:w="80"/>
        <w:gridCol w:w="60"/>
        <w:gridCol w:w="132"/>
        <w:gridCol w:w="308"/>
        <w:gridCol w:w="80"/>
      </w:tblGrid>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Settlement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3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Amortization of 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recognized in other 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recognized in net periodic benefit cost and other comprehensive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estimated net gain or loss for the defined benefit pension plan will be amortized from accumulated other comprehensive income into net periodic benefit cost over the next fiscal year.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transition obligations or prior service costs recorded in accumulated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benefit payments are expected to be paid (in thousands):</w:t>
      </w:r>
    </w:p>
    <w:p>
      <w:pPr>
        <w:pStyle w:val="TextBody"/>
        <w:bidi w:val="0"/>
        <w:spacing w:before="0" w:after="0"/>
        <w:ind w:left="0" w:right="0" w:hanging="0"/>
        <w:jc w:val="left"/>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3530"/>
        <w:gridCol w:w="60"/>
        <w:gridCol w:w="125"/>
        <w:gridCol w:w="485"/>
        <w:gridCol w:w="60"/>
      </w:tblGrid>
      <w:tr>
        <w:trPr/>
        <w:tc>
          <w:tcPr>
            <w:tcW w:w="35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2032-2036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benefit payments expected to be paid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weighted-average rates used for the years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in determining the defined benefit pension plan’s net pension costs, were as follows: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705"/>
        <w:gridCol w:w="60"/>
        <w:gridCol w:w="60"/>
        <w:gridCol w:w="380"/>
        <w:gridCol w:w="185"/>
        <w:gridCol w:w="60"/>
        <w:gridCol w:w="60"/>
        <w:gridCol w:w="380"/>
        <w:gridCol w:w="185"/>
      </w:tblGrid>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Expected long-term rate of return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0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Compensation increase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expected rate of return is determined based on a methodology that considers historical returns of multiple classes analyzed to develop a risk-free real rate of return and risk premiums for each asset class. The overall rate for each asset class was developed by combining a long-term inflation component, the risk-free real rate of return, and the associated risk premium. A weighted average rate was developed based on those overall rates and the target asset allocation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defined benefit pension plan’s weighted average asset allocation at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and weighted average target allocation were as follows:</w:t>
      </w:r>
    </w:p>
    <w:p>
      <w:pPr>
        <w:pStyle w:val="TextBody"/>
        <w:bidi w:val="0"/>
        <w:spacing w:before="0" w:after="0"/>
        <w:ind w:left="0" w:right="0" w:hanging="0"/>
        <w:jc w:val="left"/>
        <w:rPr>
          <w:caps w:val="false"/>
          <w:smallCaps w:val="false"/>
        </w:rPr>
      </w:pPr>
      <w:r>
        <w:rPr>
          <w:caps w:val="false"/>
          <w:smallCaps w:val="false"/>
        </w:rPr>
        <w:t> </w:t>
      </w:r>
    </w:p>
    <w:tbl>
      <w:tblPr>
        <w:tblW w:w="3935" w:type="dxa"/>
        <w:jc w:val="left"/>
        <w:tblInd w:w="0" w:type="dxa"/>
        <w:tblLayout w:type="fixed"/>
        <w:tblCellMar>
          <w:top w:w="0" w:type="dxa"/>
          <w:left w:w="0" w:type="dxa"/>
          <w:bottom w:w="0" w:type="dxa"/>
          <w:right w:w="0" w:type="dxa"/>
        </w:tblCellMar>
      </w:tblPr>
      <w:tblGrid>
        <w:gridCol w:w="1415"/>
        <w:gridCol w:w="60"/>
        <w:gridCol w:w="66"/>
        <w:gridCol w:w="374"/>
        <w:gridCol w:w="185"/>
        <w:gridCol w:w="60"/>
        <w:gridCol w:w="66"/>
        <w:gridCol w:w="374"/>
        <w:gridCol w:w="185"/>
        <w:gridCol w:w="60"/>
        <w:gridCol w:w="136"/>
        <w:gridCol w:w="769"/>
        <w:gridCol w:w="185"/>
      </w:tblGrid>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Target</w:t>
            </w:r>
          </w:p>
        </w:tc>
        <w:tc>
          <w:tcPr>
            <w:tcW w:w="185" w:type="dxa"/>
            <w:tcBorders/>
            <w:shd w:fill="FFFF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Allocation</w:t>
            </w:r>
          </w:p>
        </w:tc>
        <w:tc>
          <w:tcPr>
            <w:tcW w:w="18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Equity securities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3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3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4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Debt securities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3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3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4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alternatives</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3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3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Commodities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underlying basis of the investment strategy of our defined benefit pension plan is to ensure that pension funds are available to meet the plan’s benefit obligations when due. Our investment strategy is a long-term risk controlled approach using diversified investment options with relatively minimal exposure to volatile investment options like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fair values by asset category of our defined benefit pension plan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849" w:type="dxa"/>
        <w:jc w:val="left"/>
        <w:tblInd w:w="0" w:type="dxa"/>
        <w:tblLayout w:type="fixed"/>
        <w:tblCellMar>
          <w:top w:w="0" w:type="dxa"/>
          <w:left w:w="0" w:type="dxa"/>
          <w:bottom w:w="0" w:type="dxa"/>
          <w:right w:w="0" w:type="dxa"/>
        </w:tblCellMar>
      </w:tblPr>
      <w:tblGrid>
        <w:gridCol w:w="1655"/>
        <w:gridCol w:w="60"/>
        <w:gridCol w:w="125"/>
        <w:gridCol w:w="485"/>
        <w:gridCol w:w="60"/>
        <w:gridCol w:w="60"/>
        <w:gridCol w:w="203"/>
        <w:gridCol w:w="791"/>
        <w:gridCol w:w="60"/>
        <w:gridCol w:w="60"/>
        <w:gridCol w:w="307"/>
        <w:gridCol w:w="643"/>
        <w:gridCol w:w="60"/>
        <w:gridCol w:w="60"/>
        <w:gridCol w:w="375"/>
        <w:gridCol w:w="785"/>
        <w:gridCol w:w="60"/>
      </w:tblGrid>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Quoted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Prices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Markets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Identical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Equity securities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Debt securities (2)</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6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(3)</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jc w:val="left"/>
              <w:rPr/>
            </w:pPr>
            <w:r>
              <w:rPr/>
              <w:t> </w:t>
            </w:r>
          </w:p>
        </w:tc>
      </w:tr>
      <w:tr>
        <w:trPr/>
        <w:tc>
          <w:tcPr>
            <w:tcW w:w="1655"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category is comprised of publicly traded funds of which 67% are U.S. large-cap funds, 16% are U.S. mid-cap funds, 11% are developed and emerging markets and 6% are U.S. small-cap funds.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99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category is comprised of publicly traded funds, of which 54% are U.S. fixed income funds and 46% are corporate, foreign or emerging market funds.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45"/>
        <w:gridCol w:w="948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9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category is comprised of publicly traded assets, of which 96% are money market funds and 4% are commodities.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 Stockholders' Equity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Treasury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18, 2020, </w:t>
      </w:r>
      <w:r>
        <w:rPr>
          <w:rFonts w:ascii="Times New Roman" w:hAnsi="Times New Roman"/>
          <w:caps w:val="false"/>
          <w:smallCaps w:val="false"/>
          <w:sz w:val="20"/>
        </w:rPr>
        <w:t xml:space="preserve">the Board of Directors authorized a $2.0 million increase to our stock repurchase plan (“Repurchase Plan”), thus bringing the total authorized repurchase amount to $12.0 million. On </w:t>
      </w:r>
      <w:r>
        <w:rPr>
          <w:rStyle w:val="Emphasis"/>
          <w:rFonts w:ascii="Times New Roman" w:hAnsi="Times New Roman"/>
          <w:caps w:val="false"/>
          <w:smallCaps w:val="false"/>
          <w:sz w:val="20"/>
        </w:rPr>
        <w:t xml:space="preserve">March 12, 2021, </w:t>
      </w:r>
      <w:r>
        <w:rPr>
          <w:rFonts w:ascii="Times New Roman" w:hAnsi="Times New Roman"/>
          <w:caps w:val="false"/>
          <w:smallCaps w:val="false"/>
          <w:sz w:val="20"/>
        </w:rPr>
        <w:t xml:space="preserve">the Board of Directors authorized an additional $3.0 million increase to the Repurchase Plan, thus bringing the total authorized repurchase amount to $15.0 million. On </w:t>
      </w:r>
      <w:r>
        <w:rPr>
          <w:rStyle w:val="Emphasis"/>
          <w:rFonts w:ascii="Times New Roman" w:hAnsi="Times New Roman"/>
          <w:caps w:val="false"/>
          <w:smallCaps w:val="false"/>
          <w:sz w:val="20"/>
        </w:rPr>
        <w:t xml:space="preserve">January 14, 2022, </w:t>
      </w:r>
      <w:r>
        <w:rPr>
          <w:rFonts w:ascii="Times New Roman" w:hAnsi="Times New Roman"/>
          <w:caps w:val="false"/>
          <w:smallCaps w:val="false"/>
          <w:sz w:val="20"/>
        </w:rPr>
        <w:t xml:space="preserve">the Board of Directors authorized an additional $3.0 million increase to the Repurchase Plan, thus bringing the total authorized repurchase amount to $18.0 million. Under the Repurchase Plan,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from time to time, purchase shares of our common stock, depending upon market conditions, in open market or privately negotiated transactions. Our new Credit Agreement with Legacy currently prohibits most stock repurchases (see Note F). As a result, until that restriction is modified or removed,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purchase our shares other than our longstanding practice of purchasing shares from our employees in exchange for paying the employees’ withholding tax requirements upon vesting of restricted stock held by the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Treasury Stock repurchases for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4820"/>
        <w:gridCol w:w="60"/>
        <w:gridCol w:w="60"/>
        <w:gridCol w:w="590"/>
        <w:gridCol w:w="60"/>
        <w:gridCol w:w="60"/>
        <w:gridCol w:w="278"/>
        <w:gridCol w:w="851"/>
        <w:gridCol w:w="60"/>
        <w:gridCol w:w="60"/>
        <w:gridCol w:w="682"/>
        <w:gridCol w:w="1422"/>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Shares purchased under Repurchase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Shares acquired from employees for restricted stock vesting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Treasury Stock repurchases for the year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4820"/>
        <w:gridCol w:w="60"/>
        <w:gridCol w:w="60"/>
        <w:gridCol w:w="590"/>
        <w:gridCol w:w="60"/>
        <w:gridCol w:w="60"/>
        <w:gridCol w:w="278"/>
        <w:gridCol w:w="851"/>
        <w:gridCol w:w="60"/>
        <w:gridCol w:w="60"/>
        <w:gridCol w:w="570"/>
        <w:gridCol w:w="1534"/>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Shares purchased under Repurchase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Shares acquired from employees for restricted stock vesting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acquired from employees for restricted stock vesting were returned to us by the related employees and in return we paid each employee’s required tax withholding resulting from the vesting of restricted shares. The valuation of the shares acquired and thereby the number of shares returned to us was calculated based on the closing share price on the date the shares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Stock Incentive Plans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the years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stock options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Restricted stock activity for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as follows:</w:t>
      </w:r>
    </w:p>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2930"/>
        <w:gridCol w:w="60"/>
        <w:gridCol w:w="65"/>
        <w:gridCol w:w="824"/>
        <w:gridCol w:w="80"/>
        <w:gridCol w:w="60"/>
        <w:gridCol w:w="304"/>
        <w:gridCol w:w="930"/>
        <w:gridCol w:w="6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2020 Plan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Nonvested at June 30, 2025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(100,163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Nonvested at June 30,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Available for grant at June 30,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Restricted stock activity for the year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was as follows:</w:t>
      </w:r>
    </w:p>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2930"/>
        <w:gridCol w:w="60"/>
        <w:gridCol w:w="65"/>
        <w:gridCol w:w="824"/>
        <w:gridCol w:w="80"/>
        <w:gridCol w:w="60"/>
        <w:gridCol w:w="304"/>
        <w:gridCol w:w="930"/>
        <w:gridCol w:w="6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2020 Plan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Nonvested at June 30, 2024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(133,122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Nonvested at June 30, 2025</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Available for grant at June 30, 2025</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Restricted stock grants, granted to members of our Board of Directors and certain key members of our management team, vest over a period of up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from the date of grant and the unvested shares cannot be sold or otherwise transferred and the right to receive dividends, if declared by our Board of Directors, is forfeitable until the shares become vested. The total remaining unrecognized compensation cost related to unvested restricted stock shares amounted to $0.5 million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the weighted average remaining requisite service period of unvested restricted stock shares was 2.1 years.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44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J. Commitments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lease a total of approximately 162,000 square feet at our manufacturing facility in Vista, California from an unaffiliated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under a non-cancelable operating lease. On </w:t>
      </w:r>
      <w:r>
        <w:rPr>
          <w:rStyle w:val="Emphasis"/>
          <w:rFonts w:ascii="Times New Roman" w:hAnsi="Times New Roman"/>
          <w:caps w:val="false"/>
          <w:smallCaps w:val="false"/>
          <w:sz w:val="20"/>
        </w:rPr>
        <w:t xml:space="preserve">July 18, 2023, </w:t>
      </w:r>
      <w:r>
        <w:rPr>
          <w:rFonts w:ascii="Times New Roman" w:hAnsi="Times New Roman"/>
          <w:caps w:val="false"/>
          <w:smallCaps w:val="false"/>
          <w:sz w:val="20"/>
        </w:rPr>
        <w:t xml:space="preserve">we entered into a Fourth Amendment to the lease of our Vista, California manufacturing facility. The Fourth Amendment extends the term of the lease by an additional ten years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commencing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and includes an option to extend the lease through </w:t>
      </w:r>
      <w:r>
        <w:rPr>
          <w:rStyle w:val="Emphasis"/>
          <w:rFonts w:ascii="Times New Roman" w:hAnsi="Times New Roman"/>
          <w:caps w:val="false"/>
          <w:smallCaps w:val="false"/>
          <w:sz w:val="20"/>
        </w:rPr>
        <w:t>August 31, 2039. </w:t>
      </w:r>
      <w:r>
        <w:rPr>
          <w:rFonts w:ascii="Times New Roman" w:hAnsi="Times New Roman"/>
          <w:caps w:val="false"/>
          <w:smallCaps w:val="false"/>
          <w:sz w:val="20"/>
        </w:rPr>
        <w:t xml:space="preserve">We reevaluated our leased property in Vista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determined that it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reasonably certain that we would exercise an extension option that was previously recorded at the time of the Fourth Amendment to the Lease. As a result, our lease liability and right-of-use asset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both decreased by $14.1 million due to this remeasurement.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NAIE leases facility space in Manno, Switzerland from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unaffiliated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The leased spaces total approximately 116,000 square feet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NAIE primarily use the facilities for manufacturing, packaging, warehousing and distributing nutritional supplement products for the European and Asian marketplaces. On </w:t>
      </w:r>
      <w:r>
        <w:rPr>
          <w:rStyle w:val="Emphasis"/>
          <w:rFonts w:ascii="Times New Roman" w:hAnsi="Times New Roman"/>
          <w:caps w:val="false"/>
          <w:smallCaps w:val="false"/>
          <w:sz w:val="20"/>
        </w:rPr>
        <w:t xml:space="preserve">May 4, 2022, </w:t>
      </w:r>
      <w:r>
        <w:rPr>
          <w:rFonts w:ascii="Times New Roman" w:hAnsi="Times New Roman"/>
          <w:caps w:val="false"/>
          <w:smallCaps w:val="false"/>
          <w:sz w:val="20"/>
        </w:rPr>
        <w:t xml:space="preserve">NAIE further extended the lease on its main manufacturing facility for a new term of ten years effective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with a new expiration date of </w:t>
      </w:r>
      <w:r>
        <w:rPr>
          <w:rStyle w:val="Emphasis"/>
          <w:rFonts w:ascii="Times New Roman" w:hAnsi="Times New Roman"/>
          <w:caps w:val="false"/>
          <w:smallCaps w:val="false"/>
          <w:sz w:val="20"/>
        </w:rPr>
        <w:t xml:space="preserve">December 31, 2032, </w:t>
      </w:r>
      <w:r>
        <w:rPr>
          <w:rFonts w:ascii="Times New Roman" w:hAnsi="Times New Roman"/>
          <w:caps w:val="false"/>
          <w:smallCaps w:val="false"/>
          <w:sz w:val="20"/>
        </w:rPr>
        <w:t xml:space="preserve">with an option to extend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5, 2018, </w:t>
      </w:r>
      <w:r>
        <w:rPr>
          <w:rFonts w:ascii="Times New Roman" w:hAnsi="Times New Roman"/>
          <w:caps w:val="false"/>
          <w:smallCaps w:val="false"/>
          <w:sz w:val="20"/>
        </w:rPr>
        <w:t xml:space="preserve">NAIE entered into a lease with Sofinol SA for approximately 2,870 square meters of commercial warehouse space in a building located on the property adjacent to the leasehold for the primary existing NAIE facility in Manno, Switzerland. NAIE uses the space primarily for raw material storage. The lease was for an initial five-year term commencing on </w:t>
      </w:r>
      <w:r>
        <w:rPr>
          <w:rStyle w:val="Emphasis"/>
          <w:rFonts w:ascii="Times New Roman" w:hAnsi="Times New Roman"/>
          <w:caps w:val="false"/>
          <w:smallCaps w:val="false"/>
          <w:sz w:val="20"/>
        </w:rPr>
        <w:t xml:space="preserve">January 1, 2019 </w:t>
      </w:r>
      <w:r>
        <w:rPr>
          <w:rFonts w:ascii="Times New Roman" w:hAnsi="Times New Roman"/>
          <w:caps w:val="false"/>
          <w:smallCaps w:val="false"/>
          <w:sz w:val="20"/>
        </w:rPr>
        <w:t xml:space="preserve">and NAIE can terminate the lease with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advance notice given on </w:t>
      </w:r>
      <w:r>
        <w:rPr>
          <w:rStyle w:val="Emphasis"/>
          <w:rFonts w:ascii="Times New Roman" w:hAnsi="Times New Roman"/>
          <w:caps w:val="false"/>
          <w:smallCaps w:val="false"/>
          <w:sz w:val="20"/>
        </w:rPr>
        <w:t>June 30th</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31st</w:t>
      </w:r>
      <w:r>
        <w:rPr>
          <w:rFonts w:ascii="Times New Roman" w:hAnsi="Times New Roman"/>
          <w:caps w:val="false"/>
          <w:smallCaps w:val="false"/>
          <w:sz w:val="20"/>
        </w:rPr>
        <w:t xml:space="preserve"> each year of the initial term. At the end of the initial term the lease transfers to an indefinite tenancy at the same rental rate terminable by NAIE or the landlord upon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advance notice. The initial term of this lease ended on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9, 2026, </w:t>
      </w:r>
      <w:r>
        <w:rPr>
          <w:rFonts w:ascii="Times New Roman" w:hAnsi="Times New Roman"/>
          <w:caps w:val="false"/>
          <w:smallCaps w:val="false"/>
          <w:sz w:val="20"/>
        </w:rPr>
        <w:t xml:space="preserve">NAIE provided notification of terminating this lease thus ending the lease on </w:t>
      </w:r>
      <w:r>
        <w:rPr>
          <w:rStyle w:val="Emphasis"/>
          <w:rFonts w:ascii="Times New Roman" w:hAnsi="Times New Roman"/>
          <w:caps w:val="false"/>
          <w:smallCaps w:val="false"/>
          <w:sz w:val="20"/>
        </w:rPr>
        <w:t>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22, 2024,</w:t>
      </w:r>
      <w:r>
        <w:rPr>
          <w:rFonts w:ascii="Times New Roman" w:hAnsi="Times New Roman"/>
          <w:caps w:val="false"/>
          <w:smallCaps w:val="false"/>
          <w:sz w:val="20"/>
        </w:rPr>
        <w:t xml:space="preserve"> NAIE entered into a lease for an apartment in Lugano, Switzerland with an original lease term of 27 months beginning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2, 2026, </w:t>
      </w:r>
      <w:r>
        <w:rPr>
          <w:rFonts w:ascii="Times New Roman" w:hAnsi="Times New Roman"/>
          <w:caps w:val="false"/>
          <w:smallCaps w:val="false"/>
          <w:sz w:val="20"/>
        </w:rPr>
        <w:t xml:space="preserve">NAIE extended the lease term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until </w:t>
      </w:r>
      <w:r>
        <w:rPr>
          <w:rStyle w:val="Emphasis"/>
          <w:rFonts w:ascii="Times New Roman" w:hAnsi="Times New Roman"/>
          <w:caps w:val="false"/>
          <w:smallCaps w:val="false"/>
          <w:sz w:val="20"/>
        </w:rPr>
        <w:t>December 31,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Minimum rental commitments (exclusive of property tax, insurance and maintenance) under all non-cancelable operating leases with initial or remaining lease terms in excess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including the lease agreements referred to above, are set forth below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(in thousands): </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0" w:type="dxa"/>
          <w:right w:w="0" w:type="dxa"/>
        </w:tblCellMar>
      </w:tblPr>
      <w:tblGrid>
        <w:gridCol w:w="2945"/>
        <w:gridCol w:w="60"/>
        <w:gridCol w:w="125"/>
        <w:gridCol w:w="485"/>
        <w:gridCol w:w="60"/>
        <w:gridCol w:w="60"/>
        <w:gridCol w:w="125"/>
        <w:gridCol w:w="485"/>
        <w:gridCol w:w="60"/>
        <w:gridCol w:w="60"/>
        <w:gridCol w:w="125"/>
        <w:gridCol w:w="485"/>
        <w:gridCol w:w="60"/>
        <w:gridCol w:w="60"/>
        <w:gridCol w:w="125"/>
        <w:gridCol w:w="485"/>
        <w:gridCol w:w="60"/>
        <w:gridCol w:w="60"/>
        <w:gridCol w:w="125"/>
        <w:gridCol w:w="485"/>
        <w:gridCol w:w="60"/>
        <w:gridCol w:w="60"/>
        <w:gridCol w:w="125"/>
        <w:gridCol w:w="590"/>
        <w:gridCol w:w="60"/>
        <w:gridCol w:w="60"/>
        <w:gridCol w:w="125"/>
        <w:gridCol w:w="590"/>
        <w:gridCol w:w="6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There-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after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Gross minimum rental commitments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Rental expense totaled $5.7 million for the fiscal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$5.5 million for the fiscal year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K. Economic Dependency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caps w:val="false"/>
          <w:smallCaps w:val="false"/>
          <w:sz w:val="20"/>
        </w:rPr>
        <w:t xml:space="preserve">We had substantial net sales to certain customers in our private-label contract manufacturing segment during the fiscal years ended </w:t>
      </w:r>
      <w:r>
        <w:rPr>
          <w:rStyle w:val="Emphasis"/>
          <w:rFonts w:ascii="Times New Roman;Times;serif" w:hAnsi="Times New Roman;Times;serif"/>
          <w:caps w:val="false"/>
          <w:smallCaps w:val="false"/>
          <w:sz w:val="20"/>
        </w:rPr>
        <w:t>June 30</w:t>
      </w:r>
      <w:r>
        <w:rPr>
          <w:rFonts w:ascii="Times New Roman;Times;serif" w:hAnsi="Times New Roman;Times;serif"/>
          <w:caps w:val="false"/>
          <w:smallCaps w:val="false"/>
          <w:sz w:val="20"/>
        </w:rPr>
        <w:t xml:space="preserve"> shown in the following table. The loss of any of these customers, or a significant decline in sales or the growth rate of sales to these customers, or in their ability to make payments when due, could have a material adverse impact on our net sales and net operating results. Net sales to any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customer representing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or more of the respective year’s consolidated net sales were as follows (dollars in thousands):</w:t>
      </w:r>
    </w:p>
    <w:p>
      <w:pPr>
        <w:pStyle w:val="TextBody"/>
        <w:bidi w:val="0"/>
        <w:spacing w:before="0" w:after="0"/>
        <w:ind w:left="0" w:right="0" w:hanging="0"/>
        <w:jc w:val="left"/>
        <w:rPr>
          <w:caps w:val="false"/>
          <w:smallCaps w:val="false"/>
        </w:rPr>
      </w:pPr>
      <w:r>
        <w:rPr>
          <w:caps w:val="false"/>
          <w:smallCaps w:val="false"/>
        </w:rPr>
        <w:t> </w:t>
      </w:r>
    </w:p>
    <w:tbl>
      <w:tblPr>
        <w:tblW w:w="3208" w:type="dxa"/>
        <w:jc w:val="left"/>
        <w:tblInd w:w="0" w:type="dxa"/>
        <w:tblLayout w:type="fixed"/>
        <w:tblCellMar>
          <w:top w:w="0" w:type="dxa"/>
          <w:left w:w="0" w:type="dxa"/>
          <w:bottom w:w="0" w:type="dxa"/>
          <w:right w:w="0" w:type="dxa"/>
        </w:tblCellMar>
      </w:tblPr>
      <w:tblGrid>
        <w:gridCol w:w="950"/>
        <w:gridCol w:w="60"/>
        <w:gridCol w:w="176"/>
        <w:gridCol w:w="833"/>
        <w:gridCol w:w="60"/>
        <w:gridCol w:w="60"/>
        <w:gridCol w:w="176"/>
        <w:gridCol w:w="833"/>
        <w:gridCol w:w="60"/>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2025</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1</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17,165</w:t>
            </w:r>
          </w:p>
        </w:tc>
        <w:tc>
          <w:tcPr>
            <w:tcW w:w="60"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42,289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Customer 3</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(a)</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17,707</w:t>
            </w:r>
          </w:p>
        </w:tc>
        <w:tc>
          <w:tcPr>
            <w:tcW w:w="60" w:type="dxa"/>
            <w:tcBorders/>
            <w:shd w:fill="CCEEFF" w:val="clear"/>
            <w:vAlign w:val="center"/>
          </w:tcPr>
          <w:p>
            <w:pPr>
              <w:pStyle w:val="TableContents"/>
              <w:bidi w:val="0"/>
              <w:spacing w:before="0" w:after="0"/>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230"/>
        <w:gridCol w:w="596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960" w:type="dxa"/>
            <w:tcBorders/>
            <w:vAlign w:val="center"/>
          </w:tcPr>
          <w:p>
            <w:pPr>
              <w:pStyle w:val="TableContents"/>
              <w:bidi w:val="0"/>
              <w:spacing w:before="0" w:after="283"/>
              <w:jc w:val="left"/>
              <w:rPr/>
            </w:pPr>
            <w:r>
              <w:rPr>
                <w:sz w:val="20"/>
              </w:rPr>
              <w:t xml:space="preserve">Sales were less than </w:t>
            </w:r>
            <w:r>
              <w:rPr>
                <w:rStyle w:val="Emphasis"/>
                <w:sz w:val="20"/>
              </w:rPr>
              <w:t>10%</w:t>
            </w:r>
            <w:r>
              <w:rPr>
                <w:sz w:val="20"/>
              </w:rPr>
              <w:t xml:space="preserve"> of the respective period's consolidated net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caps w:val="false"/>
          <w:smallCaps w:val="false"/>
          <w:sz w:val="20"/>
        </w:rPr>
        <w:t xml:space="preserve">Accounts receivable from these customers totaled $12.3 million at </w:t>
      </w:r>
      <w:r>
        <w:rPr>
          <w:rStyle w:val="Emphasis"/>
          <w:rFonts w:ascii="Times New Roman;Times;serif" w:hAnsi="Times New Roman;Times;serif"/>
          <w:caps w:val="false"/>
          <w:smallCaps w:val="false"/>
          <w:sz w:val="20"/>
        </w:rPr>
        <w:t>June 30, 2026</w:t>
      </w:r>
      <w:r>
        <w:rPr>
          <w:rFonts w:ascii="Times New Roman;Times;serif" w:hAnsi="Times New Roman;Times;serif"/>
          <w:caps w:val="false"/>
          <w:smallCaps w:val="false"/>
          <w:sz w:val="20"/>
        </w:rPr>
        <w:t xml:space="preserve"> and $9.9 million at </w:t>
      </w:r>
      <w:r>
        <w:rPr>
          <w:rStyle w:val="Emphasis"/>
          <w:rFonts w:ascii="Times New Roman;Times;serif" w:hAnsi="Times New Roman;Times;serif"/>
          <w:caps w:val="false"/>
          <w:smallCaps w:val="false"/>
          <w:sz w:val="20"/>
        </w:rPr>
        <w:t>June 30, 2025</w:t>
      </w:r>
      <w:r>
        <w:rPr>
          <w:rFonts w:ascii="Times New Roman;Times;serif" w:hAnsi="Times New Roman;Time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caps w:val="false"/>
          <w:smallCaps w:val="false"/>
          <w:sz w:val="20"/>
        </w:rPr>
        <w:t xml:space="preserve">We buy certain products, including beta-alanine, from a single supplier. The loss of this supplier or other raw material suppliers could have a material adverse impact on our net results of operations. Raw material purchases from any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supplier representing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or more of the respective period’s total raw material purchases were as follows (dollars in thousands):</w:t>
      </w:r>
    </w:p>
    <w:p>
      <w:pPr>
        <w:pStyle w:val="TextBody"/>
        <w:bidi w:val="0"/>
        <w:spacing w:before="0" w:after="0"/>
        <w:ind w:left="0" w:right="0" w:hanging="0"/>
        <w:jc w:val="left"/>
        <w:rPr>
          <w:caps w:val="false"/>
          <w:smallCaps w:val="false"/>
        </w:rPr>
      </w:pPr>
      <w:r>
        <w:rPr>
          <w:caps w:val="false"/>
          <w:smallCaps w:val="false"/>
        </w:rPr>
        <w:t> </w:t>
      </w:r>
    </w:p>
    <w:tbl>
      <w:tblPr>
        <w:tblW w:w="5716" w:type="dxa"/>
        <w:jc w:val="left"/>
        <w:tblInd w:w="0" w:type="dxa"/>
        <w:tblLayout w:type="fixed"/>
        <w:tblCellMar>
          <w:top w:w="0" w:type="dxa"/>
          <w:left w:w="0" w:type="dxa"/>
          <w:bottom w:w="0" w:type="dxa"/>
          <w:right w:w="0" w:type="dxa"/>
        </w:tblCellMar>
      </w:tblPr>
      <w:tblGrid>
        <w:gridCol w:w="860"/>
        <w:gridCol w:w="60"/>
        <w:gridCol w:w="239"/>
        <w:gridCol w:w="935"/>
        <w:gridCol w:w="60"/>
        <w:gridCol w:w="60"/>
        <w:gridCol w:w="183"/>
        <w:gridCol w:w="706"/>
        <w:gridCol w:w="185"/>
        <w:gridCol w:w="60"/>
        <w:gridCol w:w="203"/>
        <w:gridCol w:w="971"/>
        <w:gridCol w:w="60"/>
        <w:gridCol w:w="60"/>
        <w:gridCol w:w="183"/>
        <w:gridCol w:w="706"/>
        <w:gridCol w:w="185"/>
      </w:tblGrid>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1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June 30,</w:t>
            </w:r>
          </w:p>
        </w:tc>
        <w:tc>
          <w:tcPr>
            <w:tcW w:w="185"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Raw Material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Raw</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Raw Material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Raw</w:t>
            </w:r>
          </w:p>
        </w:tc>
        <w:tc>
          <w:tcPr>
            <w:tcW w:w="185"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Purchases by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Material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Purchases by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Material</w:t>
            </w:r>
          </w:p>
        </w:tc>
        <w:tc>
          <w:tcPr>
            <w:tcW w:w="185"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Supplier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Purchases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Supplier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Purchases</w:t>
            </w:r>
          </w:p>
        </w:tc>
        <w:tc>
          <w:tcPr>
            <w:tcW w:w="18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Supplier 1</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 Derivatives and Hedging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are exposed to gains and losses resulting from fluctuations in foreign currency exchange rates relating to forecasted product sales denominated in foreign currencies and to other transactions of NAIE, our foreign subsidiary. As part of our overall strategy to manage the level of exposure to the risk of fluctuations in foreign currency exchange rates,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use foreign exchange contracts in the form of forward contracts.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guarantee any such contracts, to the extent we enter into such contracts, will be effective hedges against our 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prior, we entered into forward contracts designated as cash flow hedges primarily to protect against the foreign exchange risks inherent in our forecasted sales of products at prices denominated in currencies other than the U.S. dollar. These contracts were all settled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For derivative instruments that are designated and qualify as cash flow hedges, we record the effective portion of the gain or loss on the derivative in accumulated other comprehensive income (OCI) as a separate component of stockholders’ equity and subsequently reclassify these amounts into earnings in the period during which the hedged transaction is recognized in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foreign currency contracts designated as cash flow hedges, hedge effectiveness is measured using the spot rate. Changes in the spot-forward differential are excluded from the test of hedge effectiveness and are recorded currently in earnings as revenue. We measure effectiveness by comparing the cumulative change in the hedge contract with the cumulative change in the hedged item as well as ensuring the assumptions we made at hedge inception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changed. Although no hedging relationships were terminated as a result of ineffective hedging for the years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as part of our debt refinancing, Wells Fargo required us to extinguish and settle our remaining outstanding foreign currency hedge contracts (see Note F). As a result, we net settled our remaining contracts as of </w:t>
      </w:r>
      <w:r>
        <w:rPr>
          <w:rStyle w:val="Emphasis"/>
          <w:rFonts w:ascii="Times New Roman" w:hAnsi="Times New Roman"/>
          <w:caps w:val="false"/>
          <w:smallCaps w:val="false"/>
          <w:sz w:val="20"/>
        </w:rPr>
        <w:t xml:space="preserve"> May 11, 2026 </w:t>
      </w:r>
      <w:r>
        <w:rPr>
          <w:rFonts w:ascii="Times New Roman" w:hAnsi="Times New Roman"/>
          <w:caps w:val="false"/>
          <w:smallCaps w:val="false"/>
          <w:sz w:val="20"/>
        </w:rPr>
        <w:t>resulting in a net settlement loss of $0.2 million, and we terminated our hedging line of credit with Wells Fargo. We are exploring opportunities with other lenders to establish a new foreign currency hedging credit 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monitor the probability of forecasted transactions as part of the hedge effectiveness testing on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no foreign exchange contracts were outstanding. During the year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 net gain of approximately $1.6 million was recorded in OCI and reclassified into earnings.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approximately $0.4 million of deferred taxes related to derivative instruments designated as cash flow hedges was recorded in OCI.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a net loss of approximately $1.6 million, offset by approximately $0.4 million of deferred taxes, related to derivative instruments designated as cash flow hedges was recorded in OCI.</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recognized $0.9 million of net gains in OCI and reclassified $0.4 million of net gains and forward point amortization from OCI to Net Sales as well a net settlement loss of $0.2 million to Foreign exchange loss when we settled our remaining contracts on </w:t>
      </w:r>
      <w:r>
        <w:rPr>
          <w:rStyle w:val="Emphasis"/>
          <w:rFonts w:ascii="Times New Roman" w:hAnsi="Times New Roman"/>
          <w:caps w:val="false"/>
          <w:smallCaps w:val="false"/>
          <w:sz w:val="20"/>
        </w:rPr>
        <w:t>May 11, 2026 (</w:t>
      </w:r>
      <w:r>
        <w:rPr>
          <w:rFonts w:ascii="Times New Roman" w:hAnsi="Times New Roman"/>
          <w:caps w:val="false"/>
          <w:smallCaps w:val="false"/>
          <w:sz w:val="20"/>
        </w:rPr>
        <w:t xml:space="preserve">see Note F). During the year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we recognized $1.6 million of net losses in OCI and reclassified $0.2 million of losses and forward point amortization from OCI to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foreign currency contracts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cash flow hedges, changes in the fair value of the hedge are recorded directly to foreign exchange gain or loss in other income in an effort to offset the change in valuation of the underlying hedged item. 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entered into forward contracts in order to hedge foreign exchange risk associated with the lease liability at NAIE, which is denominated in Swiss Francs (CHF).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foreign exchange contracts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cash flow hedges outstanding.</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time to time, we become involved in various investigations, claims and legal proceedings that arise in the ordinary course of our business. These matters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relate to product liability, employment, intellectual property,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based on available information, we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the resolution of these matters will result in a material adverse effect on our business, consolidated financial condition, or results of operations and the price of our common stock. However, a settlement payment or unfavorable outcome could adversely impact our results of operations. Our evaluation of the likely impact of these actions could change in the future, and we could have unfavorable outcomes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Settlement of Legal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we were sued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former employees in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separate, but substantially identical matters brought by the same law firm. The lawsuits were filed as a putative class action and a PAGA action seeking awards for all similarly situated employees going back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or more. We responded to these actions and agreed to submit the matters for mediation. On </w:t>
      </w:r>
      <w:r>
        <w:rPr>
          <w:rStyle w:val="Emphasis"/>
          <w:rFonts w:ascii="Times New Roman" w:hAnsi="Times New Roman"/>
          <w:caps w:val="false"/>
          <w:smallCaps w:val="false"/>
          <w:sz w:val="20"/>
        </w:rPr>
        <w:t xml:space="preserve">July 3, 2025, </w:t>
      </w:r>
      <w:r>
        <w:rPr>
          <w:rFonts w:ascii="Times New Roman" w:hAnsi="Times New Roman"/>
          <w:caps w:val="false"/>
          <w:smallCaps w:val="false"/>
          <w:sz w:val="20"/>
        </w:rPr>
        <w:t xml:space="preserve">the mediation took place, and a tentative settlement agreement was reached whereby we agreed to contribute a maximum of $1.25 million. The court has consolidated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actions. The settlement was brought before the court and an attempt to contact all similarly situated employees was made for them to participate at their discretion. The court agreed to the settlement. Payment was remitted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and final court approval and termination of the proceedings is expected to take place in </w:t>
      </w:r>
      <w:r>
        <w:rPr>
          <w:rStyle w:val="Emphasis"/>
          <w:rFonts w:ascii="Times New Roman" w:hAnsi="Times New Roman"/>
          <w:caps w:val="false"/>
          <w:smallCaps w:val="false"/>
          <w:sz w:val="20"/>
        </w:rPr>
        <w:t>February 2027.</w:t>
      </w:r>
      <w:r>
        <w:rPr>
          <w:rFonts w:ascii="Times New Roman" w:hAnsi="Times New Roman"/>
          <w:caps w:val="false"/>
          <w:smallCaps w:val="false"/>
          <w:sz w:val="20"/>
        </w:rPr>
        <w:t xml:space="preserve"> Although we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found liable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admit liability, we accrued the maximum settlement amount in our results of operations as of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along with estimated related legal fees of approximately $150,000. During the year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we accrued additional estimated related legal fees of $44,000.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Retention Tax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recorded a $3.5 million Employee Retention Tax Credit ("ERTC") net refund associated with the Coronavirus Aid, Relief, and Economic Security Act signed into law in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 xml:space="preserve">and extended with the Taxpayer Certainty and Disaster Tax Relief Act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These acts provided numerous tax provisions and other stimulus measures, including the ERTC. Under these expanded measures, we determined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that we qualified for the ERTC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quarters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filed the required amended payroll tax returns to claim this refund. On </w:t>
      </w:r>
      <w:r>
        <w:rPr>
          <w:rStyle w:val="Emphasis"/>
          <w:rFonts w:ascii="Times New Roman" w:hAnsi="Times New Roman"/>
          <w:caps w:val="false"/>
          <w:smallCaps w:val="false"/>
          <w:sz w:val="20"/>
        </w:rPr>
        <w:t xml:space="preserve">December 9, 2024, </w:t>
      </w:r>
      <w:r>
        <w:rPr>
          <w:rFonts w:ascii="Times New Roman" w:hAnsi="Times New Roman"/>
          <w:caps w:val="false"/>
          <w:smallCaps w:val="false"/>
          <w:sz w:val="20"/>
        </w:rPr>
        <w:t xml:space="preserve">the Internal Revenue Service ("IRS") sent us a </w:t>
      </w:r>
      <w:r>
        <w:rPr>
          <w:rStyle w:val="Emphasis"/>
          <w:rFonts w:ascii="Times New Roman" w:hAnsi="Times New Roman"/>
          <w:caps w:val="false"/>
          <w:smallCaps w:val="false"/>
          <w:sz w:val="20"/>
        </w:rPr>
        <w:t>105c</w:t>
      </w:r>
      <w:r>
        <w:rPr>
          <w:rFonts w:ascii="Times New Roman" w:hAnsi="Times New Roman"/>
          <w:caps w:val="false"/>
          <w:smallCaps w:val="false"/>
          <w:sz w:val="20"/>
        </w:rPr>
        <w:t xml:space="preserve"> letter informing us that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we qualify for the tax credit for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 disagreed with the position the IRS noted in their denial letter and responded to their letter to contest their claim. Although we had received this initial denial from the IRS, we believed we were entitled to the refund for these claims recorded 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any additional correspondence from the IRS associated with our appeal related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but in </w:t>
      </w:r>
      <w:r>
        <w:rPr>
          <w:rStyle w:val="Emphasis"/>
          <w:rFonts w:ascii="Times New Roman" w:hAnsi="Times New Roman"/>
          <w:caps w:val="false"/>
          <w:smallCaps w:val="false"/>
          <w:sz w:val="20"/>
        </w:rPr>
        <w:t xml:space="preserve">April 2025, </w:t>
      </w:r>
      <w:r>
        <w:rPr>
          <w:rFonts w:ascii="Times New Roman" w:hAnsi="Times New Roman"/>
          <w:caps w:val="false"/>
          <w:smallCaps w:val="false"/>
          <w:sz w:val="20"/>
        </w:rPr>
        <w:t xml:space="preserve">we collected the refund amounts associated with our ERTC filings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calendar year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which totaled $2.9 million.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our legal advisors on this matter informed us that the cost of litigation with the IRS based on their aggressive posturing of our request for refund of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credit would outweigh the benefits. Consequently, we reserved the remaining receivable balance of $1.5 million and reversed associated fees of $0.3 million for a net expense to our results of operations of $1.2 million for the year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Geopolitical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Management is monitoring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Iran War in the Middle East, the Russo-Ukrainian war in Eastern Europe, and on-going conflicts in Sudan and Syria, and potential economic effects from these events as they develop. These geographical areas account for a small portion of our global net sales, but we do source multiple raw materials from Israel.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these conflicts will have a significant impact on our net sales. We are continually evaluating options for alternative ingredient sources and/or holding safety stock of impacted materials to limit any impact. There are further concerns regarding overall decreased supplies of commodities that rely on available safe passage through the Strait of Hormuz and other potential maritime chokepoints, consumer purchasing and consumption behavior, increases in global shipping expenses, greater volatility in foreign exchange and interest rates, and other unforeseen business disruptions due to the current global geopolitical tensions. We will continue to evaluate impacts of these developments on our customers, suppliers, employees,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Government Trade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2026, </w:t>
      </w:r>
      <w:r>
        <w:rPr>
          <w:rFonts w:ascii="Times New Roman" w:hAnsi="Times New Roman"/>
          <w:caps w:val="false"/>
          <w:smallCaps w:val="false"/>
          <w:sz w:val="20"/>
        </w:rPr>
        <w:t xml:space="preserve">the U.S. Supreme Court ruled in the present circumstances the International Emergency Economic Powers Act ("IEEPA")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authorize the President of the United States to impose tariffs. On </w:t>
      </w:r>
      <w:r>
        <w:rPr>
          <w:rStyle w:val="Emphasis"/>
          <w:rFonts w:ascii="Times New Roman" w:hAnsi="Times New Roman"/>
          <w:caps w:val="false"/>
          <w:smallCaps w:val="false"/>
          <w:sz w:val="20"/>
        </w:rPr>
        <w:t xml:space="preserve">February 24, 2026, </w:t>
      </w:r>
      <w:r>
        <w:rPr>
          <w:rFonts w:ascii="Times New Roman" w:hAnsi="Times New Roman"/>
          <w:caps w:val="false"/>
          <w:smallCaps w:val="false"/>
          <w:sz w:val="20"/>
        </w:rPr>
        <w:t xml:space="preserve">the United States Government terminated tariffs imposed under the IEEPA and replaced them with tariffs from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under Section </w:t>
      </w:r>
      <w:r>
        <w:rPr>
          <w:rStyle w:val="Emphasis"/>
          <w:rFonts w:ascii="Times New Roman" w:hAnsi="Times New Roman"/>
          <w:caps w:val="false"/>
          <w:smallCaps w:val="false"/>
          <w:sz w:val="20"/>
        </w:rPr>
        <w:t>122</w:t>
      </w:r>
      <w:r>
        <w:rPr>
          <w:rFonts w:ascii="Times New Roman" w:hAnsi="Times New Roman"/>
          <w:caps w:val="false"/>
          <w:smallCaps w:val="false"/>
          <w:sz w:val="20"/>
        </w:rPr>
        <w:t xml:space="preserve"> of the Trade Act of </w:t>
      </w:r>
      <w:r>
        <w:rPr>
          <w:rStyle w:val="Emphasis"/>
          <w:rFonts w:ascii="Times New Roman" w:hAnsi="Times New Roman"/>
          <w:caps w:val="false"/>
          <w:smallCaps w:val="false"/>
          <w:sz w:val="20"/>
        </w:rPr>
        <w:t>1974</w:t>
      </w:r>
      <w:r>
        <w:rPr>
          <w:rFonts w:ascii="Times New Roman" w:hAnsi="Times New Roman"/>
          <w:caps w:val="false"/>
          <w:smallCaps w:val="false"/>
          <w:sz w:val="20"/>
        </w:rPr>
        <w:t xml:space="preserve"> which expired on </w:t>
      </w:r>
      <w:r>
        <w:rPr>
          <w:rStyle w:val="Emphasis"/>
          <w:rFonts w:ascii="Times New Roman" w:hAnsi="Times New Roman"/>
          <w:caps w:val="false"/>
          <w:smallCaps w:val="false"/>
          <w:sz w:val="20"/>
        </w:rPr>
        <w:t>July 23, 2026.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24, 2026, </w:t>
      </w:r>
      <w:r>
        <w:rPr>
          <w:rFonts w:ascii="Times New Roman" w:hAnsi="Times New Roman"/>
          <w:caps w:val="false"/>
          <w:smallCaps w:val="false"/>
          <w:sz w:val="20"/>
        </w:rPr>
        <w:t xml:space="preserve">replacement tariffs of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12.5</w:t>
      </w:r>
      <w:r>
        <w:rPr>
          <w:rFonts w:ascii="Times New Roman" w:hAnsi="Times New Roman"/>
          <w:caps w:val="false"/>
          <w:smallCaps w:val="false"/>
          <w:sz w:val="20"/>
        </w:rPr>
        <w:t xml:space="preserve"> % under Section </w:t>
      </w:r>
      <w:r>
        <w:rPr>
          <w:rStyle w:val="Emphasis"/>
          <w:rFonts w:ascii="Times New Roman" w:hAnsi="Times New Roman"/>
          <w:caps w:val="false"/>
          <w:smallCaps w:val="false"/>
          <w:sz w:val="20"/>
        </w:rPr>
        <w:t>301of</w:t>
      </w:r>
      <w:r>
        <w:rPr>
          <w:rFonts w:ascii="Times New Roman" w:hAnsi="Times New Roman"/>
          <w:caps w:val="false"/>
          <w:smallCaps w:val="false"/>
          <w:sz w:val="20"/>
        </w:rPr>
        <w:t xml:space="preserve"> the Trade Act of </w:t>
      </w:r>
      <w:r>
        <w:rPr>
          <w:rStyle w:val="Emphasis"/>
          <w:rFonts w:ascii="Times New Roman" w:hAnsi="Times New Roman"/>
          <w:caps w:val="false"/>
          <w:smallCaps w:val="false"/>
          <w:sz w:val="20"/>
        </w:rPr>
        <w:t>1974</w:t>
      </w:r>
      <w:r>
        <w:rPr>
          <w:rFonts w:ascii="Times New Roman" w:hAnsi="Times New Roman"/>
          <w:caps w:val="false"/>
          <w:smallCaps w:val="false"/>
          <w:sz w:val="20"/>
        </w:rPr>
        <w:t xml:space="preserve"> were imposed on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U.S. trading partners. Details of future tariff restrictions seem to continuously evolve thus making changes to them unpredictable. Current and future implementation of tariffs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products and ingredients we or our customers require for their products. These goods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beta-alanine. The commercialization of our beta-alanine patent estate depends on the availability of the raw material beta-alanine. In response to the U.S. imposition of tariffs, China, Canada, the European Union, and other governments have imposed their own tariffs on certain American products. The resulting tariffs could have a significant adverse effect on our customers' businesses, the availability of beta-alanine, and the cost of our products. While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know how potential increased tariffs will unfold, or how any tariffs will impact our business, we believe the imposition of additional tariffs by the U.S. or other governments on products or ingredients we use in the products we manufacture could adversely impact our customers as a result of increased product costs, and such increased costs could have an adverse impact on the availability of beta-alanine, the licensing of our patents and trademarks and our distribution of this raw material. This could adversely impact our ability to license our patents and trademarks, our ability to sell beta-alanine, and our customers’ ability to compete in the marketplace, reducing demand for our products, and products we manufacture for our customers. Any of these events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a contract manufacturer, we pass through material cost increases to our customers, including increases associated with tariffs. We also work with our customers to identify potential alternative supply sources for key ingredients to help mitigate the impact tariffs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on the cost of their products. We will continue to evaluate the impact of imposed trade tariffs on our customers, suppliers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 Segment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business consists of two segments for financial reporting purposes.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segments are identified as (i) private-label contract manufacturing, which primarily relates to the provision of private-label contract manufacturing services to companies that market and distribute nutritional supplements and other health care products, and (ii) patent and trademark licensing, which primarily includes direct raw material sales and royalty income from our license and supply agreements associated with the sale and use of beta-alanine under our CarnoSyn®, SR CarnoSyn®, CarnoSyn® </w:t>
      </w:r>
      <w:r>
        <w:rPr>
          <w:rStyle w:val="Emphasis"/>
          <w:rFonts w:ascii="Times New Roman" w:hAnsi="Times New Roman"/>
          <w:caps w:val="false"/>
          <w:smallCaps w:val="false"/>
          <w:sz w:val="20"/>
        </w:rPr>
        <w:t>4X,</w:t>
      </w:r>
      <w:r>
        <w:rPr>
          <w:rFonts w:ascii="Times New Roman" w:hAnsi="Times New Roman"/>
          <w:caps w:val="false"/>
          <w:smallCaps w:val="false"/>
          <w:sz w:val="20"/>
        </w:rPr>
        <w:t xml:space="preserve"> and TriBsyn®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chief operating decision maker is the Company's Chief Executive Officer, who, in conjunction with senior management, evaluates segment performance based on a number of factors. The primary performance measures for each segment are net sales and income or loss from operations before corporate allocations. Operating income or loss for each segment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corporate general and administrative expenses, interest expense and other miscellaneous income and expense items. Corporate general and administrative expenses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human resources, corporate legal, finance, information technology, and other corporate level related expenses,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allocated to any segment. Transfers of raw materials between segments are recorded at cost. The accounting policies of our segments are the same as those described in the summary of significant accounting policies in Note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in our Private-label contract manufacturing segment, we observed a decline in the fair value of our manufacturing facility we own in Carlsbad, California compared to its carrying value, negative cash flow results from operating activities in fiscal years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 adverse change in the business climate as a result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our largest customer's downward revisions of forecasted orders, and expected negative cash flow results for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These factors indicated the carrying value of certain long-lived assets might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fully recoverable. Consequently, we performed an evaluation of the recoverability of this asset group. Based on this evaluation, we determined the carrying amount of our manufacturing facility in Carlsbad, California exceeded the projected undiscounted future cash flows from that facility. Accordingly, we determined an impairment loss due to the carrying value of this asset group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being in excess of the sum of expected cash flows over the forecasted useful life of the facility subject to fair value limitations. As a result, we recognized a non-cash impairment charge of $10.4 million presented as a separate line item, </w:t>
      </w:r>
      <w:r>
        <w:rPr>
          <w:rFonts w:ascii="Times New Roman" w:hAnsi="Times New Roman"/>
          <w:i/>
          <w:caps w:val="false"/>
          <w:smallCaps w:val="false"/>
          <w:sz w:val="20"/>
        </w:rPr>
        <w:t>Impairment loss</w:t>
      </w:r>
      <w:r>
        <w:rPr>
          <w:rFonts w:ascii="Times New Roman" w:hAnsi="Times New Roman"/>
          <w:caps w:val="false"/>
          <w:smallCaps w:val="false"/>
          <w:sz w:val="20"/>
        </w:rPr>
        <w:t xml:space="preserve">, on the consolidated statements of operations and comprehensive loss to write down property and equipment, to reflect the lower of their estimated fair values or carrying amounts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This charge significantly increased our operating loss for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but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immediate impact on our cash position or liquidity. For estimates of fair values, we relied on significant unobservable inputs categorized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 such as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real estate experts for building and land fair values as of </w:t>
      </w:r>
      <w:r>
        <w:rPr>
          <w:rStyle w:val="Emphasis"/>
          <w:rFonts w:ascii="Times New Roman" w:hAnsi="Times New Roman"/>
          <w:caps w:val="false"/>
          <w:smallCaps w:val="false"/>
          <w:sz w:val="20"/>
        </w:rPr>
        <w:t xml:space="preserve">June 5, 2026, </w:t>
      </w:r>
      <w:r>
        <w:rPr>
          <w:rFonts w:ascii="Times New Roman" w:hAnsi="Times New Roman"/>
          <w:caps w:val="false"/>
          <w:smallCaps w:val="false"/>
          <w:sz w:val="20"/>
        </w:rPr>
        <w:t xml:space="preserve">and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appraiser's report for Machinery and Equipment as of </w:t>
      </w:r>
      <w:r>
        <w:rPr>
          <w:rStyle w:val="Emphasis"/>
          <w:rFonts w:ascii="Times New Roman" w:hAnsi="Times New Roman"/>
          <w:caps w:val="false"/>
          <w:smallCaps w:val="false"/>
          <w:sz w:val="20"/>
        </w:rPr>
        <w:t xml:space="preserve">January 28, 2026, </w:t>
      </w:r>
      <w:r>
        <w:rPr>
          <w:rFonts w:ascii="Times New Roman" w:hAnsi="Times New Roman"/>
          <w:caps w:val="false"/>
          <w:smallCaps w:val="false"/>
          <w:sz w:val="20"/>
        </w:rPr>
        <w:t xml:space="preserve">which we received as part of our debt refinancing 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fair values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It is possible the assumptions and underlying estimates used to determine the fair value of this asset group will change in the future, and such changes could result in a material difference from the impairment loss recognized in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Our operating results by business segment for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were as follows (in thousands):</w:t>
      </w:r>
    </w:p>
    <w:tbl>
      <w:tblPr>
        <w:tblW w:w="9643" w:type="dxa"/>
        <w:jc w:val="left"/>
        <w:tblInd w:w="0" w:type="dxa"/>
        <w:tblLayout w:type="fixed"/>
        <w:tblCellMar>
          <w:top w:w="0" w:type="dxa"/>
          <w:left w:w="0" w:type="dxa"/>
          <w:bottom w:w="0" w:type="dxa"/>
          <w:right w:w="0" w:type="dxa"/>
        </w:tblCellMar>
      </w:tblPr>
      <w:tblGrid>
        <w:gridCol w:w="4445"/>
        <w:gridCol w:w="60"/>
        <w:gridCol w:w="189"/>
        <w:gridCol w:w="1061"/>
        <w:gridCol w:w="80"/>
        <w:gridCol w:w="60"/>
        <w:gridCol w:w="160"/>
        <w:gridCol w:w="759"/>
        <w:gridCol w:w="60"/>
        <w:gridCol w:w="60"/>
        <w:gridCol w:w="207"/>
        <w:gridCol w:w="907"/>
        <w:gridCol w:w="80"/>
        <w:gridCol w:w="245"/>
        <w:gridCol w:w="60"/>
        <w:gridCol w:w="171"/>
        <w:gridCol w:w="959"/>
        <w:gridCol w:w="80"/>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sz w:val="20"/>
              </w:rPr>
            </w:pPr>
            <w:r>
              <w:rPr>
                <w:sz w:val="20"/>
              </w:rPr>
              <w:t>$</w:t>
            </w:r>
          </w:p>
        </w:tc>
        <w:tc>
          <w:tcPr>
            <w:tcW w:w="1061" w:type="dxa"/>
            <w:tcBorders/>
            <w:shd w:fill="CCEEFF" w:val="clear"/>
            <w:vAlign w:val="center"/>
          </w:tcPr>
          <w:p>
            <w:pPr>
              <w:pStyle w:val="TableContents"/>
              <w:bidi w:val="0"/>
              <w:spacing w:before="0" w:after="283"/>
              <w:ind w:left="0" w:right="0" w:hanging="0"/>
              <w:jc w:val="right"/>
              <w:rPr>
                <w:sz w:val="20"/>
              </w:rPr>
            </w:pPr>
            <w:r>
              <w:rPr>
                <w:sz w:val="20"/>
              </w:rPr>
              <w:t>134,615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sz w:val="20"/>
              </w:rPr>
            </w:pPr>
            <w:r>
              <w:rPr>
                <w:sz w:val="20"/>
              </w:rPr>
              <w:t>$</w:t>
            </w:r>
          </w:p>
        </w:tc>
        <w:tc>
          <w:tcPr>
            <w:tcW w:w="759" w:type="dxa"/>
            <w:tcBorders/>
            <w:shd w:fill="CCEEFF" w:val="clear"/>
            <w:vAlign w:val="center"/>
          </w:tcPr>
          <w:p>
            <w:pPr>
              <w:pStyle w:val="TableContents"/>
              <w:bidi w:val="0"/>
              <w:spacing w:before="0" w:after="283"/>
              <w:ind w:left="0" w:right="0" w:hanging="0"/>
              <w:jc w:val="right"/>
              <w:rPr>
                <w:sz w:val="20"/>
              </w:rPr>
            </w:pPr>
            <w:r>
              <w:rPr>
                <w:sz w:val="20"/>
              </w:rPr>
              <w:t>7,900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sz w:val="20"/>
              </w:rPr>
            </w:pPr>
            <w:r>
              <w:rPr>
                <w:sz w:val="20"/>
              </w:rPr>
              <w:t>$</w:t>
            </w:r>
          </w:p>
        </w:tc>
        <w:tc>
          <w:tcPr>
            <w:tcW w:w="907" w:type="dxa"/>
            <w:tcBorders/>
            <w:shd w:fill="CCEEFF" w:val="clear"/>
            <w:vAlign w:val="center"/>
          </w:tcPr>
          <w:p>
            <w:pPr>
              <w:pStyle w:val="TableContents"/>
              <w:bidi w:val="0"/>
              <w:spacing w:before="0" w:after="283"/>
              <w:ind w:left="0" w:right="0" w:hanging="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sz w:val="20"/>
              </w:rPr>
            </w:pPr>
            <w:r>
              <w:rPr>
                <w:sz w:val="20"/>
              </w:rPr>
              <w:t>$</w:t>
            </w:r>
          </w:p>
        </w:tc>
        <w:tc>
          <w:tcPr>
            <w:tcW w:w="959" w:type="dxa"/>
            <w:tcBorders/>
            <w:shd w:fill="CCEEFF" w:val="clear"/>
            <w:vAlign w:val="center"/>
          </w:tcPr>
          <w:p>
            <w:pPr>
              <w:pStyle w:val="TableContents"/>
              <w:bidi w:val="0"/>
              <w:spacing w:before="0" w:after="283"/>
              <w:ind w:left="0" w:right="0" w:hanging="0"/>
              <w:jc w:val="right"/>
              <w:rPr>
                <w:sz w:val="20"/>
              </w:rPr>
            </w:pPr>
            <w:r>
              <w:rPr>
                <w:sz w:val="20"/>
              </w:rPr>
              <w:t>142,515</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vAlign w:val="center"/>
          </w:tcPr>
          <w:p>
            <w:pPr>
              <w:pStyle w:val="TableContents"/>
              <w:bidi w:val="0"/>
              <w:spacing w:before="0" w:after="283"/>
              <w:jc w:val="left"/>
              <w:rPr/>
            </w:pPr>
            <w:r>
              <w:rPr/>
              <w:t> </w:t>
            </w:r>
          </w:p>
        </w:tc>
        <w:tc>
          <w:tcPr>
            <w:tcW w:w="18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130,700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2,818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17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133,518</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sz w:val="20"/>
              </w:rPr>
            </w:pPr>
            <w:r>
              <w:rPr>
                <w:sz w:val="20"/>
              </w:rPr>
              <w:t>3,915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sz w:val="20"/>
              </w:rPr>
            </w:pPr>
            <w:r>
              <w:rPr>
                <w:sz w:val="20"/>
              </w:rPr>
              <w:t>5,082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sz w:val="20"/>
              </w:rPr>
            </w:pPr>
            <w:r>
              <w:rPr>
                <w:sz w:val="20"/>
              </w:rPr>
              <w:t>8,997</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 expenses</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ind w:left="0" w:right="0" w:hanging="0"/>
              <w:jc w:val="left"/>
              <w:rPr/>
            </w:pPr>
            <w:r>
              <w:rPr/>
              <w:t> </w:t>
            </w:r>
          </w:p>
        </w:tc>
        <w:tc>
          <w:tcPr>
            <w:tcW w:w="1061" w:type="dxa"/>
            <w:tcBorders/>
            <w:vAlign w:val="center"/>
          </w:tcPr>
          <w:p>
            <w:pPr>
              <w:pStyle w:val="TableContents"/>
              <w:bidi w:val="0"/>
              <w:spacing w:before="0" w:after="283"/>
              <w:ind w:left="0" w:right="0" w:hanging="0"/>
              <w:jc w:val="right"/>
              <w:rPr>
                <w:sz w:val="20"/>
              </w:rPr>
            </w:pPr>
            <w:r>
              <w:rPr>
                <w:sz w:val="20"/>
              </w:rPr>
              <w:t>5,958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ind w:left="0" w:right="0" w:hanging="0"/>
              <w:jc w:val="left"/>
              <w:rPr/>
            </w:pPr>
            <w:r>
              <w:rPr/>
              <w:t> </w:t>
            </w:r>
          </w:p>
        </w:tc>
        <w:tc>
          <w:tcPr>
            <w:tcW w:w="759" w:type="dxa"/>
            <w:tcBorders/>
            <w:vAlign w:val="center"/>
          </w:tcPr>
          <w:p>
            <w:pPr>
              <w:pStyle w:val="TableContents"/>
              <w:bidi w:val="0"/>
              <w:spacing w:before="0" w:after="283"/>
              <w:ind w:left="0" w:right="0" w:hanging="0"/>
              <w:jc w:val="right"/>
              <w:rPr>
                <w:sz w:val="20"/>
              </w:rPr>
            </w:pPr>
            <w:r>
              <w:rPr>
                <w:sz w:val="20"/>
              </w:rPr>
              <w:t>2,390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ind w:left="0" w:right="0" w:hanging="0"/>
              <w:jc w:val="left"/>
              <w:rPr/>
            </w:pPr>
            <w:r>
              <w:rPr/>
              <w:t> </w:t>
            </w:r>
          </w:p>
        </w:tc>
        <w:tc>
          <w:tcPr>
            <w:tcW w:w="907" w:type="dxa"/>
            <w:tcBorders/>
            <w:vAlign w:val="center"/>
          </w:tcPr>
          <w:p>
            <w:pPr>
              <w:pStyle w:val="TableContents"/>
              <w:bidi w:val="0"/>
              <w:spacing w:before="0" w:after="283"/>
              <w:ind w:left="0" w:right="0" w:hanging="0"/>
              <w:jc w:val="right"/>
              <w:rPr>
                <w:sz w:val="20"/>
              </w:rPr>
            </w:pPr>
            <w:r>
              <w:rPr>
                <w:sz w:val="20"/>
              </w:rPr>
              <w:t>8,948</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0"/>
              <w:jc w:val="left"/>
              <w:rPr/>
            </w:pPr>
            <w:r>
              <w:rPr/>
              <w:t> </w:t>
            </w:r>
          </w:p>
        </w:tc>
        <w:tc>
          <w:tcPr>
            <w:tcW w:w="959" w:type="dxa"/>
            <w:tcBorders/>
            <w:vAlign w:val="center"/>
          </w:tcPr>
          <w:p>
            <w:pPr>
              <w:pStyle w:val="TableContents"/>
              <w:bidi w:val="0"/>
              <w:spacing w:before="0" w:after="283"/>
              <w:ind w:left="0" w:right="0" w:hanging="0"/>
              <w:jc w:val="right"/>
              <w:rPr>
                <w:sz w:val="20"/>
              </w:rPr>
            </w:pPr>
            <w:r>
              <w:rPr>
                <w:sz w:val="20"/>
              </w:rPr>
              <w:t>17,296</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sz w:val="20"/>
              </w:rPr>
            </w:pPr>
            <w:r>
              <w:rPr>
                <w:sz w:val="20"/>
              </w:rPr>
              <w:t>10,409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sz w:val="20"/>
              </w:rPr>
            </w:pPr>
            <w:r>
              <w:rPr>
                <w:sz w:val="20"/>
              </w:rPr>
              <w:t>10,409</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legal proceeding and associated expense</w:t>
            </w:r>
          </w:p>
        </w:tc>
        <w:tc>
          <w:tcPr>
            <w:tcW w:w="60" w:type="dxa"/>
            <w:tcBorders/>
            <w:vAlign w:val="center"/>
          </w:tcPr>
          <w:p>
            <w:pPr>
              <w:pStyle w:val="TableContents"/>
              <w:bidi w:val="0"/>
              <w:spacing w:before="0" w:after="283"/>
              <w:jc w:val="left"/>
              <w:rPr/>
            </w:pPr>
            <w:r>
              <w:rPr/>
              <w:t> </w:t>
            </w:r>
          </w:p>
        </w:tc>
        <w:tc>
          <w:tcPr>
            <w:tcW w:w="18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44</w:t>
            </w:r>
          </w:p>
        </w:tc>
        <w:tc>
          <w:tcPr>
            <w:tcW w:w="80" w:type="dxa"/>
            <w:tcBorders/>
            <w:vAlign w:val="center"/>
          </w:tcPr>
          <w:p>
            <w:pPr>
              <w:pStyle w:val="TableContents"/>
              <w:bidi w:val="0"/>
              <w:spacing w:before="0" w:after="283"/>
              <w:ind w:left="0" w:right="0" w:hanging="0"/>
              <w:jc w:val="left"/>
              <w:rPr/>
            </w:pPr>
            <w:r>
              <w:rPr/>
              <w:t> </w:t>
            </w:r>
          </w:p>
        </w:tc>
        <w:tc>
          <w:tcPr>
            <w:tcW w:w="245"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17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44</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vAlign w:val="center"/>
          </w:tcPr>
          <w:p>
            <w:pPr>
              <w:pStyle w:val="TableContents"/>
              <w:bidi w:val="0"/>
              <w:spacing w:before="0" w:after="283"/>
              <w:jc w:val="left"/>
              <w:rPr/>
            </w:pPr>
            <w:r>
              <w:rPr/>
              <w:t> </w:t>
            </w:r>
          </w:p>
        </w:tc>
        <w:tc>
          <w:tcPr>
            <w:tcW w:w="18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(12,452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2,692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(8,992</w:t>
            </w:r>
          </w:p>
        </w:tc>
        <w:tc>
          <w:tcPr>
            <w:tcW w:w="80" w:type="dxa"/>
            <w:tcBorders/>
            <w:vAlign w:val="center"/>
          </w:tcPr>
          <w:p>
            <w:pPr>
              <w:pStyle w:val="TableContents"/>
              <w:bidi w:val="0"/>
              <w:spacing w:before="0" w:after="283"/>
              <w:jc w:val="left"/>
              <w:rPr>
                <w:sz w:val="20"/>
              </w:rPr>
            </w:pPr>
            <w:r>
              <w:rPr>
                <w:sz w:val="20"/>
              </w:rPr>
              <w:t>)</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17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(18,752</w:t>
            </w:r>
          </w:p>
        </w:tc>
        <w:tc>
          <w:tcPr>
            <w:tcW w:w="80" w:type="dxa"/>
            <w:tcBorders/>
            <w:vAlign w:val="center"/>
          </w:tcPr>
          <w:p>
            <w:pPr>
              <w:pStyle w:val="TableContents"/>
              <w:bidi w:val="0"/>
              <w:spacing w:before="0" w:after="283"/>
              <w:jc w:val="left"/>
              <w:rPr>
                <w:sz w:val="20"/>
              </w:rPr>
            </w:pPr>
            <w:r>
              <w:rPr>
                <w:sz w:val="20"/>
              </w:rPr>
              <w:t>)</w:t>
            </w:r>
          </w:p>
        </w:tc>
      </w:tr>
      <w:tr>
        <w:trPr/>
        <w:tc>
          <w:tcPr>
            <w:tcW w:w="4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sz w:val="20"/>
              </w:rPr>
            </w:pPr>
            <w:r>
              <w:rPr>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sz w:val="20"/>
              </w:rPr>
            </w:pPr>
            <w:r>
              <w:rPr>
                <w:sz w:val="20"/>
              </w:rPr>
              <w:t>50</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ind w:left="0" w:right="0" w:hanging="0"/>
              <w:jc w:val="left"/>
              <w:rPr/>
            </w:pPr>
            <w:r>
              <w:rPr/>
              <w:t> </w:t>
            </w:r>
          </w:p>
        </w:tc>
        <w:tc>
          <w:tcPr>
            <w:tcW w:w="1061" w:type="dxa"/>
            <w:tcBorders/>
            <w:vAlign w:val="center"/>
          </w:tcPr>
          <w:p>
            <w:pPr>
              <w:pStyle w:val="TableContents"/>
              <w:bidi w:val="0"/>
              <w:spacing w:before="0" w:after="283"/>
              <w:ind w:left="0" w:right="0" w:hanging="0"/>
              <w:jc w:val="right"/>
              <w:rPr>
                <w:sz w:val="20"/>
              </w:rPr>
            </w:pPr>
            <w:r>
              <w:rPr>
                <w:sz w:val="20"/>
              </w:rPr>
              <w:t>(1,186</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ind w:left="0" w:right="0" w:hanging="0"/>
              <w:jc w:val="left"/>
              <w:rPr/>
            </w:pPr>
            <w:r>
              <w:rPr/>
              <w:t> </w:t>
            </w:r>
          </w:p>
        </w:tc>
        <w:tc>
          <w:tcPr>
            <w:tcW w:w="759" w:type="dxa"/>
            <w:tcBorders/>
            <w:vAlign w:val="center"/>
          </w:tcPr>
          <w:p>
            <w:pPr>
              <w:pStyle w:val="TableContents"/>
              <w:bidi w:val="0"/>
              <w:spacing w:before="0" w:after="283"/>
              <w:ind w:left="0" w:right="0" w:hanging="0"/>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ind w:left="0" w:right="0" w:hanging="0"/>
              <w:jc w:val="left"/>
              <w:rPr/>
            </w:pPr>
            <w:r>
              <w:rPr/>
              <w:t> </w:t>
            </w:r>
          </w:p>
        </w:tc>
        <w:tc>
          <w:tcPr>
            <w:tcW w:w="907" w:type="dxa"/>
            <w:tcBorders/>
            <w:vAlign w:val="center"/>
          </w:tcPr>
          <w:p>
            <w:pPr>
              <w:pStyle w:val="TableContents"/>
              <w:bidi w:val="0"/>
              <w:spacing w:before="0" w:after="283"/>
              <w:ind w:left="0" w:right="0" w:hanging="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0"/>
              <w:jc w:val="left"/>
              <w:rPr/>
            </w:pPr>
            <w:r>
              <w:rPr/>
              <w:t> </w:t>
            </w:r>
          </w:p>
        </w:tc>
        <w:tc>
          <w:tcPr>
            <w:tcW w:w="959" w:type="dxa"/>
            <w:tcBorders/>
            <w:vAlign w:val="center"/>
          </w:tcPr>
          <w:p>
            <w:pPr>
              <w:pStyle w:val="TableContents"/>
              <w:bidi w:val="0"/>
              <w:spacing w:before="0" w:after="283"/>
              <w:ind w:left="0" w:right="0" w:hanging="0"/>
              <w:jc w:val="right"/>
              <w:rPr>
                <w:sz w:val="20"/>
              </w:rPr>
            </w:pPr>
            <w:r>
              <w:rPr>
                <w:sz w:val="20"/>
              </w:rPr>
              <w:t>(1,186</w:t>
            </w:r>
          </w:p>
        </w:tc>
        <w:tc>
          <w:tcPr>
            <w:tcW w:w="80" w:type="dxa"/>
            <w:tcBorders/>
            <w:vAlign w:val="center"/>
          </w:tcPr>
          <w:p>
            <w:pPr>
              <w:pStyle w:val="TableContents"/>
              <w:bidi w:val="0"/>
              <w:spacing w:before="0" w:after="283"/>
              <w:jc w:val="left"/>
              <w:rPr>
                <w:sz w:val="20"/>
              </w:rPr>
            </w:pPr>
            <w:r>
              <w:rPr>
                <w:sz w:val="20"/>
              </w:rPr>
              <w:t>)</w:t>
            </w:r>
          </w:p>
        </w:tc>
      </w:tr>
      <w:tr>
        <w:trPr/>
        <w:tc>
          <w:tcPr>
            <w:tcW w:w="44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sz w:val="20"/>
              </w:rPr>
            </w:pPr>
            <w:r>
              <w:rPr>
                <w:sz w:val="20"/>
              </w:rPr>
              <w:t>(316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sz w:val="20"/>
              </w:rPr>
            </w:pPr>
            <w:r>
              <w:rPr>
                <w:sz w:val="20"/>
              </w:rPr>
              <w:t>(316</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445" w:type="dxa"/>
            <w:tcBorders/>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vAlign w:val="center"/>
          </w:tcPr>
          <w:p>
            <w:pPr>
              <w:pStyle w:val="TableContents"/>
              <w:bidi w:val="0"/>
              <w:spacing w:before="0" w:after="283"/>
              <w:jc w:val="left"/>
              <w:rPr/>
            </w:pPr>
            <w:r>
              <w:rPr/>
              <w:t> </w:t>
            </w:r>
          </w:p>
        </w:tc>
        <w:tc>
          <w:tcPr>
            <w:tcW w:w="18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(61</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17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(61</w:t>
            </w:r>
          </w:p>
        </w:tc>
        <w:tc>
          <w:tcPr>
            <w:tcW w:w="80" w:type="dxa"/>
            <w:tcBorders/>
            <w:vAlign w:val="center"/>
          </w:tcPr>
          <w:p>
            <w:pPr>
              <w:pStyle w:val="TableContents"/>
              <w:bidi w:val="0"/>
              <w:spacing w:before="0" w:after="283"/>
              <w:jc w:val="left"/>
              <w:rPr>
                <w:sz w:val="20"/>
              </w:rPr>
            </w:pPr>
            <w:r>
              <w:rPr>
                <w:sz w:val="20"/>
              </w:rPr>
              <w:t>)</w:t>
            </w:r>
          </w:p>
        </w:tc>
      </w:tr>
      <w:tr>
        <w:trPr/>
        <w:tc>
          <w:tcPr>
            <w:tcW w:w="44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(1,513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(1,513</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sz w:val="20"/>
              </w:rPr>
            </w:pPr>
            <w:r>
              <w:rPr>
                <w:sz w:val="20"/>
              </w:rPr>
              <w:t>(13,965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sz w:val="20"/>
              </w:rPr>
            </w:pPr>
            <w:r>
              <w:rPr>
                <w:sz w:val="20"/>
              </w:rPr>
              <w:t>2,692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sz w:val="20"/>
              </w:rPr>
            </w:pPr>
            <w:r>
              <w:rPr>
                <w:sz w:val="20"/>
              </w:rPr>
              <w:t>(8,992</w:t>
            </w:r>
          </w:p>
        </w:tc>
        <w:tc>
          <w:tcPr>
            <w:tcW w:w="80" w:type="dxa"/>
            <w:tcBorders/>
            <w:shd w:fill="CCEEFF" w:val="clear"/>
            <w:vAlign w:val="center"/>
          </w:tcPr>
          <w:p>
            <w:pPr>
              <w:pStyle w:val="TableContents"/>
              <w:bidi w:val="0"/>
              <w:spacing w:before="0" w:after="283"/>
              <w:jc w:val="left"/>
              <w:rPr>
                <w:sz w:val="20"/>
              </w:rPr>
            </w:pPr>
            <w:r>
              <w:rPr>
                <w:sz w:val="20"/>
              </w:rPr>
              <w:t>)</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sz w:val="20"/>
              </w:rPr>
            </w:pPr>
            <w:r>
              <w:rPr>
                <w:sz w:val="20"/>
              </w:rPr>
              <w:t>(20,265</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17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430</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(20,695</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sz w:val="20"/>
              </w:rPr>
            </w:pPr>
            <w:r>
              <w:rPr>
                <w:sz w:val="20"/>
              </w:rPr>
              <w:t>$</w:t>
            </w:r>
          </w:p>
        </w:tc>
        <w:tc>
          <w:tcPr>
            <w:tcW w:w="1061" w:type="dxa"/>
            <w:tcBorders/>
            <w:shd w:fill="CCEEFF" w:val="clear"/>
            <w:vAlign w:val="center"/>
          </w:tcPr>
          <w:p>
            <w:pPr>
              <w:pStyle w:val="TableContents"/>
              <w:bidi w:val="0"/>
              <w:spacing w:before="0" w:after="283"/>
              <w:ind w:left="0" w:right="0" w:hanging="0"/>
              <w:jc w:val="right"/>
              <w:rPr>
                <w:sz w:val="20"/>
              </w:rPr>
            </w:pPr>
            <w:r>
              <w:rPr>
                <w:sz w:val="20"/>
              </w:rPr>
              <w:t>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sz w:val="20"/>
              </w:rPr>
            </w:pPr>
            <w:r>
              <w:rPr>
                <w:sz w:val="20"/>
              </w:rPr>
              <w:t>$</w:t>
            </w:r>
          </w:p>
        </w:tc>
        <w:tc>
          <w:tcPr>
            <w:tcW w:w="759" w:type="dxa"/>
            <w:tcBorders/>
            <w:shd w:fill="CCEEFF" w:val="clear"/>
            <w:vAlign w:val="center"/>
          </w:tcPr>
          <w:p>
            <w:pPr>
              <w:pStyle w:val="TableContents"/>
              <w:bidi w:val="0"/>
              <w:spacing w:before="0" w:after="283"/>
              <w:ind w:left="0" w:right="0" w:hanging="0"/>
              <w:jc w:val="right"/>
              <w:rPr>
                <w:sz w:val="20"/>
              </w:rPr>
            </w:pPr>
            <w:r>
              <w:rPr>
                <w:sz w:val="20"/>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sz w:val="20"/>
              </w:rPr>
            </w:pPr>
            <w:r>
              <w:rPr>
                <w:sz w:val="20"/>
              </w:rPr>
              <w:t>$</w:t>
            </w:r>
          </w:p>
        </w:tc>
        <w:tc>
          <w:tcPr>
            <w:tcW w:w="907" w:type="dxa"/>
            <w:tcBorders/>
            <w:shd w:fill="CCEEFF" w:val="clear"/>
            <w:vAlign w:val="center"/>
          </w:tcPr>
          <w:p>
            <w:pPr>
              <w:pStyle w:val="TableContents"/>
              <w:bidi w:val="0"/>
              <w:spacing w:before="0" w:after="283"/>
              <w:ind w:left="0" w:right="0" w:hanging="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sz w:val="20"/>
              </w:rPr>
            </w:pPr>
            <w:r>
              <w:rPr>
                <w:sz w:val="20"/>
              </w:rPr>
              <w:t>$</w:t>
            </w:r>
          </w:p>
        </w:tc>
        <w:tc>
          <w:tcPr>
            <w:tcW w:w="959" w:type="dxa"/>
            <w:tcBorders/>
            <w:shd w:fill="CCEEFF" w:val="clear"/>
            <w:vAlign w:val="center"/>
          </w:tcPr>
          <w:p>
            <w:pPr>
              <w:pStyle w:val="TableContents"/>
              <w:bidi w:val="0"/>
              <w:spacing w:before="0" w:after="283"/>
              <w:ind w:left="0" w:right="0" w:hanging="0"/>
              <w:jc w:val="right"/>
              <w:rPr>
                <w:sz w:val="20"/>
              </w:rPr>
            </w:pPr>
            <w:r>
              <w:rPr>
                <w:sz w:val="20"/>
              </w:rPr>
              <w:t>603</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ind w:left="0" w:right="0" w:hanging="0"/>
              <w:jc w:val="left"/>
              <w:rPr/>
            </w:pPr>
            <w:r>
              <w:rPr/>
              <w:t> </w:t>
            </w:r>
          </w:p>
        </w:tc>
        <w:tc>
          <w:tcPr>
            <w:tcW w:w="1061" w:type="dxa"/>
            <w:tcBorders/>
            <w:vAlign w:val="center"/>
          </w:tcPr>
          <w:p>
            <w:pPr>
              <w:pStyle w:val="TableContents"/>
              <w:bidi w:val="0"/>
              <w:spacing w:before="0" w:after="283"/>
              <w:ind w:left="0" w:right="0" w:hanging="0"/>
              <w:jc w:val="right"/>
              <w:rPr>
                <w:sz w:val="20"/>
              </w:rPr>
            </w:pPr>
            <w:r>
              <w:rPr>
                <w:sz w:val="20"/>
              </w:rPr>
              <w:t>4,702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ind w:left="0" w:right="0" w:hanging="0"/>
              <w:jc w:val="left"/>
              <w:rPr/>
            </w:pPr>
            <w:r>
              <w:rPr/>
              <w:t> </w:t>
            </w:r>
          </w:p>
        </w:tc>
        <w:tc>
          <w:tcPr>
            <w:tcW w:w="759" w:type="dxa"/>
            <w:tcBorders/>
            <w:vAlign w:val="center"/>
          </w:tcPr>
          <w:p>
            <w:pPr>
              <w:pStyle w:val="TableContents"/>
              <w:bidi w:val="0"/>
              <w:spacing w:before="0" w:after="283"/>
              <w:ind w:left="0" w:right="0" w:hanging="0"/>
              <w:jc w:val="right"/>
              <w:rPr>
                <w:sz w:val="20"/>
              </w:rPr>
            </w:pPr>
            <w:r>
              <w:rPr>
                <w:sz w:val="20"/>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ind w:left="0" w:right="0" w:hanging="0"/>
              <w:jc w:val="left"/>
              <w:rPr/>
            </w:pPr>
            <w:r>
              <w:rPr/>
              <w:t> </w:t>
            </w:r>
          </w:p>
        </w:tc>
        <w:tc>
          <w:tcPr>
            <w:tcW w:w="907" w:type="dxa"/>
            <w:tcBorders/>
            <w:vAlign w:val="center"/>
          </w:tcPr>
          <w:p>
            <w:pPr>
              <w:pStyle w:val="TableContents"/>
              <w:bidi w:val="0"/>
              <w:spacing w:before="0" w:after="283"/>
              <w:ind w:left="0" w:right="0" w:hanging="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0"/>
              <w:jc w:val="left"/>
              <w:rPr/>
            </w:pPr>
            <w:r>
              <w:rPr/>
              <w:t> </w:t>
            </w:r>
          </w:p>
        </w:tc>
        <w:tc>
          <w:tcPr>
            <w:tcW w:w="959" w:type="dxa"/>
            <w:tcBorders/>
            <w:vAlign w:val="center"/>
          </w:tcPr>
          <w:p>
            <w:pPr>
              <w:pStyle w:val="TableContents"/>
              <w:bidi w:val="0"/>
              <w:spacing w:before="0" w:after="283"/>
              <w:ind w:left="0" w:right="0" w:hanging="0"/>
              <w:jc w:val="right"/>
              <w:rPr>
                <w:sz w:val="20"/>
              </w:rPr>
            </w:pPr>
            <w:r>
              <w:rPr>
                <w:sz w:val="20"/>
              </w:rPr>
              <w:t>4,709</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sz w:val="20"/>
              </w:rPr>
            </w:pPr>
            <w:r>
              <w:rPr>
                <w:sz w:val="20"/>
              </w:rPr>
              <w:t>85,632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sz w:val="20"/>
              </w:rPr>
            </w:pPr>
            <w:r>
              <w:rPr>
                <w:sz w:val="20"/>
              </w:rPr>
              <w:t>40,814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sz w:val="20"/>
              </w:rPr>
            </w:pPr>
            <w:r>
              <w:rPr>
                <w:sz w:val="20"/>
              </w:rPr>
              <w:t>126,446</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ind w:left="0" w:right="0" w:hanging="0"/>
              <w:jc w:val="left"/>
              <w:rPr/>
            </w:pPr>
            <w:r>
              <w:rPr/>
              <w:t> </w:t>
            </w:r>
          </w:p>
        </w:tc>
        <w:tc>
          <w:tcPr>
            <w:tcW w:w="1061" w:type="dxa"/>
            <w:tcBorders/>
            <w:vAlign w:val="center"/>
          </w:tcPr>
          <w:p>
            <w:pPr>
              <w:pStyle w:val="TableContents"/>
              <w:bidi w:val="0"/>
              <w:spacing w:before="0" w:after="283"/>
              <w:ind w:left="0" w:right="0" w:hanging="0"/>
              <w:jc w:val="right"/>
              <w:rPr>
                <w:sz w:val="20"/>
              </w:rPr>
            </w:pPr>
            <w:r>
              <w:rPr>
                <w:sz w:val="20"/>
              </w:rPr>
              <w:t>3,816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ind w:left="0" w:right="0" w:hanging="0"/>
              <w:jc w:val="left"/>
              <w:rPr/>
            </w:pPr>
            <w:r>
              <w:rPr/>
              <w:t> </w:t>
            </w:r>
          </w:p>
        </w:tc>
        <w:tc>
          <w:tcPr>
            <w:tcW w:w="759" w:type="dxa"/>
            <w:tcBorders/>
            <w:vAlign w:val="center"/>
          </w:tcPr>
          <w:p>
            <w:pPr>
              <w:pStyle w:val="TableContents"/>
              <w:bidi w:val="0"/>
              <w:spacing w:before="0" w:after="283"/>
              <w:ind w:left="0" w:right="0" w:hanging="0"/>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ind w:left="0" w:right="0" w:hanging="0"/>
              <w:jc w:val="left"/>
              <w:rPr/>
            </w:pPr>
            <w:r>
              <w:rPr/>
              <w:t> </w:t>
            </w:r>
          </w:p>
        </w:tc>
        <w:tc>
          <w:tcPr>
            <w:tcW w:w="907" w:type="dxa"/>
            <w:tcBorders/>
            <w:vAlign w:val="center"/>
          </w:tcPr>
          <w:p>
            <w:pPr>
              <w:pStyle w:val="TableContents"/>
              <w:bidi w:val="0"/>
              <w:spacing w:before="0" w:after="283"/>
              <w:ind w:left="0" w:right="0" w:hanging="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0"/>
              <w:jc w:val="left"/>
              <w:rPr/>
            </w:pPr>
            <w:r>
              <w:rPr/>
              <w:t> </w:t>
            </w:r>
          </w:p>
        </w:tc>
        <w:tc>
          <w:tcPr>
            <w:tcW w:w="959" w:type="dxa"/>
            <w:tcBorders/>
            <w:vAlign w:val="center"/>
          </w:tcPr>
          <w:p>
            <w:pPr>
              <w:pStyle w:val="TableContents"/>
              <w:bidi w:val="0"/>
              <w:spacing w:before="0" w:after="283"/>
              <w:ind w:left="0" w:right="0" w:hanging="0"/>
              <w:jc w:val="right"/>
              <w:rPr>
                <w:sz w:val="20"/>
              </w:rPr>
            </w:pPr>
            <w:r>
              <w:rPr>
                <w:sz w:val="20"/>
              </w:rPr>
              <w:t>3,816</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9" w:type="dxa"/>
            <w:tcBorders/>
            <w:vAlign w:val="center"/>
          </w:tcPr>
          <w:p>
            <w:pPr>
              <w:pStyle w:val="TableContents"/>
              <w:bidi w:val="0"/>
              <w:spacing w:before="0" w:after="283"/>
              <w:jc w:val="left"/>
              <w:rPr/>
            </w:pPr>
            <w:r>
              <w:rPr>
                <w:rFonts w:ascii="Times New Roman;Times;serif" w:hAnsi="Times New Roman;Times;serif"/>
                <w:sz w:val="20"/>
              </w:rPr>
              <w:t xml:space="preserve">Additional estimated legal fees related to services associated with settlement of </w:t>
            </w:r>
            <w:r>
              <w:rPr>
                <w:rStyle w:val="Emphasis"/>
                <w:rFonts w:ascii="Times New Roman;Times;serif" w:hAnsi="Times New Roman;Times;serif"/>
                <w:sz w:val="20"/>
              </w:rPr>
              <w:t>two</w:t>
            </w:r>
            <w:r>
              <w:rPr>
                <w:rFonts w:ascii="Times New Roman;Times;serif" w:hAnsi="Times New Roman;Times;serif"/>
                <w:sz w:val="20"/>
              </w:rPr>
              <w:t xml:space="preserve"> legal proceedings were allocated to Corporate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operating results by business segment for the year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were as follows (in thousands):</w:t>
      </w:r>
    </w:p>
    <w:tbl>
      <w:tblPr>
        <w:tblW w:w="9643" w:type="dxa"/>
        <w:jc w:val="left"/>
        <w:tblInd w:w="0" w:type="dxa"/>
        <w:tblLayout w:type="fixed"/>
        <w:tblCellMar>
          <w:top w:w="0" w:type="dxa"/>
          <w:left w:w="0" w:type="dxa"/>
          <w:bottom w:w="0" w:type="dxa"/>
          <w:right w:w="0" w:type="dxa"/>
        </w:tblCellMar>
      </w:tblPr>
      <w:tblGrid>
        <w:gridCol w:w="4445"/>
        <w:gridCol w:w="60"/>
        <w:gridCol w:w="189"/>
        <w:gridCol w:w="1061"/>
        <w:gridCol w:w="80"/>
        <w:gridCol w:w="60"/>
        <w:gridCol w:w="160"/>
        <w:gridCol w:w="759"/>
        <w:gridCol w:w="60"/>
        <w:gridCol w:w="60"/>
        <w:gridCol w:w="179"/>
        <w:gridCol w:w="935"/>
        <w:gridCol w:w="80"/>
        <w:gridCol w:w="245"/>
        <w:gridCol w:w="60"/>
        <w:gridCol w:w="171"/>
        <w:gridCol w:w="959"/>
        <w:gridCol w:w="80"/>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129,860</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120,571</w:t>
            </w:r>
          </w:p>
        </w:tc>
        <w:tc>
          <w:tcPr>
            <w:tcW w:w="8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9,289</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8,939</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16,549</w:t>
            </w:r>
          </w:p>
        </w:tc>
        <w:tc>
          <w:tcPr>
            <w:tcW w:w="8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legal proceeding and associated expense</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8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8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4,560</w:t>
            </w:r>
          </w:p>
        </w:tc>
        <w:tc>
          <w:tcPr>
            <w:tcW w:w="8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151,939</w:t>
            </w:r>
          </w:p>
        </w:tc>
        <w:tc>
          <w:tcPr>
            <w:tcW w:w="8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6" w:type="dxa"/>
            <w:tcBorders/>
            <w:vAlign w:val="center"/>
          </w:tcPr>
          <w:p>
            <w:pPr>
              <w:pStyle w:val="TableContents"/>
              <w:bidi w:val="0"/>
              <w:spacing w:before="0" w:after="283"/>
              <w:jc w:val="left"/>
              <w:rPr/>
            </w:pPr>
            <w:r>
              <w:rPr>
                <w:rFonts w:ascii="Times New Roman;Times;serif" w:hAnsi="Times New Roman;Times;serif"/>
                <w:sz w:val="20"/>
              </w:rPr>
              <w:t xml:space="preserve">Expenses accrued for gross settlement of </w:t>
            </w:r>
            <w:r>
              <w:rPr>
                <w:rStyle w:val="Emphasis"/>
                <w:rFonts w:ascii="Times New Roman;Times;serif" w:hAnsi="Times New Roman;Times;serif"/>
                <w:sz w:val="20"/>
              </w:rPr>
              <w:t>two</w:t>
            </w:r>
            <w:r>
              <w:rPr>
                <w:rFonts w:ascii="Times New Roman;Times;serif" w:hAnsi="Times New Roman;Times;serif"/>
                <w:sz w:val="20"/>
              </w:rPr>
              <w:t xml:space="preserve"> legal actions and related legal fees for services associated with the settlement were allocated to Corporate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private-label contract manufacturing products are sold both in the U.S. and in markets outside the U.S., including Europe, Canada, Australia, New Zealand, Mexico and Asia. Our primary markets outside the U.S. are Europe and Asia. Our patent and trademark licensing activities are primarily based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Net sales by geographic region, based on the customers’ location, for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750"/>
        <w:gridCol w:w="60"/>
        <w:gridCol w:w="125"/>
        <w:gridCol w:w="695"/>
        <w:gridCol w:w="60"/>
        <w:gridCol w:w="60"/>
        <w:gridCol w:w="125"/>
        <w:gridCol w:w="695"/>
        <w:gridCol w:w="60"/>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79,128</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Markets outside the United States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50,732</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Products manufactured by NAIE accounted for 86% of consolidated net sales in markets outside the U.S.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85% of consolidated net sales in markets outside the U.S. in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Products manufactured by NAIE and sold in the U.S. during the fiscal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accounted for $36,000 of NAIE net sales. No products manufactured by NAIE were sold in the U.S. during the fiscal year ended </w:t>
      </w:r>
      <w:r>
        <w:rPr>
          <w:rStyle w:val="Emphasis"/>
          <w:rFonts w:ascii="Times New Roman" w:hAnsi="Times New Roman"/>
          <w:caps w:val="false"/>
          <w:smallCaps w:val="false"/>
          <w:sz w:val="20"/>
        </w:rPr>
        <w:t xml:space="preserve">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Long-lived assets by geographic region, based on the location of the company or subsidiary at which they were located or made, for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925"/>
        <w:gridCol w:w="60"/>
        <w:gridCol w:w="125"/>
        <w:gridCol w:w="590"/>
        <w:gridCol w:w="60"/>
        <w:gridCol w:w="60"/>
        <w:gridCol w:w="125"/>
        <w:gridCol w:w="590"/>
        <w:gridCol w:w="60"/>
      </w:tblGrid>
      <w:tr>
        <w:trPr/>
        <w:tc>
          <w:tcPr>
            <w:tcW w:w="1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76,212</w:t>
            </w:r>
          </w:p>
        </w:tc>
        <w:tc>
          <w:tcPr>
            <w:tcW w:w="60"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15,732</w:t>
            </w:r>
          </w:p>
        </w:tc>
        <w:tc>
          <w:tcPr>
            <w:tcW w:w="60"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91,944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Total assets by geographic region, based on the location of the company or subsidiary at which they were located or made, for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100"/>
        <w:gridCol w:w="60"/>
        <w:gridCol w:w="125"/>
        <w:gridCol w:w="695"/>
        <w:gridCol w:w="60"/>
        <w:gridCol w:w="60"/>
        <w:gridCol w:w="125"/>
        <w:gridCol w:w="695"/>
        <w:gridCol w:w="6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105,860</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46,079</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151,939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Capital expenditures by geographic region, based on the location of the company or subsidiary at which they were located or made, for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150"/>
        <w:gridCol w:w="60"/>
        <w:gridCol w:w="125"/>
        <w:gridCol w:w="485"/>
        <w:gridCol w:w="60"/>
        <w:gridCol w:w="60"/>
        <w:gridCol w:w="125"/>
        <w:gridCol w:w="485"/>
        <w:gridCol w:w="60"/>
      </w:tblGrid>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2,862</w:t>
            </w:r>
          </w:p>
        </w:tc>
        <w:tc>
          <w:tcPr>
            <w:tcW w:w="6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w:t>
            </w:r>
          </w:p>
        </w:tc>
        <w:tc>
          <w:tcPr>
            <w:tcW w:w="6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August 2026, one</w:t>
      </w:r>
      <w:r>
        <w:rPr>
          <w:rFonts w:ascii="Times New Roman" w:hAnsi="Times New Roman"/>
          <w:caps w:val="false"/>
          <w:smallCaps w:val="false"/>
          <w:sz w:val="20"/>
        </w:rPr>
        <w:t xml:space="preserve"> of our largest private-label contract manufacturing customers informed us of a material downward revision in their forecast of projected orders and purchases from us during our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caused by growing inventory levels on their behalf. As a result, we made considerable changes to our forecast for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Although our overall sales forecast for fiscal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includes an expected increase in sales as compared to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currently anticipate we will experience a net loss for fiscal </w:t>
      </w:r>
      <w:r>
        <w:rPr>
          <w:rStyle w:val="Emphasis"/>
          <w:rFonts w:ascii="Times New Roman" w:hAnsi="Times New Roman"/>
          <w:caps w:val="false"/>
          <w:smallCaps w:val="false"/>
          <w:sz w:val="20"/>
        </w:rPr>
        <w:t>2027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Consequently, we anticipate we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able to comply with the fixed charge coverage ratio covenant requirement as defined in the Loan and Security Agreement that is based on only domestic operations and will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be measured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We have informed Legacy of our pending non-compliance with the fixed charge coverage ratio, and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a waiver, amendment, or remedy will be available or what the difference in amount, cost or other factors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After careful consideration of the Company's current financial position and strategic objectives, management has determined the sale of the manufacturing facility located in Carlsbad, California is in the best interests of the Company and its stockholders. The Board of Directors has concluded that divesting this real property asset will provide the Company with additional liquidity needed to manage cash flows and reduce the overall debt load while improving capacity utilization. In light of the Company's recent operating challenges, management believes unlocking the capital currently held in this facility will allow the Company to extinguish the outstanding term-note on this property, reduce persistent excess capacity in our contract manufacturing segment, and better size the Company for sustainable growth. Management believes production can be effectively consolidated in our Vista, California manufacturing facility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disruptions to production of customers'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9" w:name="i9"/>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i9a"/>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 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maintain certain disclosure controls and procedures as defined under the Securities Exchange Act of 1934. They are designed to help ensure that material information is: (1) gathered and communicated to our management, including our principal executive and financial officers, in a manner that allows for timely decisions regarding required disclosures; and (2) recorded, processed, summarized, reported and filed with the SEC as required under the Securities Exchange Act of 1934 and within the time periods specified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our President and Chief Operating Officer, evaluated the effectiveness of the design and operation of our disclosure controls and procedures as of June 30, 2026. Based on such evaluation, our Chief Executive Officer and President concluded our disclosure controls and procedures were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 Management</w:t>
      </w:r>
      <w:r>
        <w:rPr>
          <w:rFonts w:ascii="Times New Roman" w:hAnsi="Times New Roman"/>
          <w:caps w:val="false"/>
          <w:smallCaps w:val="false"/>
          <w:sz w:val="20"/>
        </w:rPr>
        <w:t>’</w:t>
      </w:r>
      <w:r>
        <w:rPr>
          <w:rFonts w:ascii="Times New Roman" w:hAnsi="Times New Roman"/>
          <w:b/>
          <w:caps w:val="false"/>
          <w:smallCaps w:val="false"/>
          <w:sz w:val="20"/>
        </w:rPr>
        <w:t xml:space="preserve">s Annual Report on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is responsible for establishing and maintaining adequate internal control over financial reporting for the Company, and for performing an assessment of the effectiveness of internal control over financial reporting as of June 30, 2026. For this purpose, internal control over financial reporting refers to a process designed by, or under the supervision of, our principal executive and financial officers and effected by our board of directors, management and other personnel, to provide reasonable assurance regarding the reliability of financial reporting and the preparation of financial statements for external purposes in accordance with GAAP.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our assets that could have a material adverse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performed an assessment of the effectiveness of our internal control over financial reporting as of June 30, 2026 based upon criteria in an Internal Control – Integrated Framework issued by the Committee of Sponsoring Organizations of the Treadway Commission (COSO) (2013 framework). Based on this assessment, management concluded our internal control over financial reporting was effective as of June 30, 2026 based on the criteria issued by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assessment does not include an attestation report of our independent registered public accounting firm regarding internal control over financial reporting. Management’s report was not required to be attested to by our independent registered public accounting firm pursuant to applicable law and rules that permit the Company to provide only the management’s report as part of this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 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changes to our internal control over financial reporting during the fourth quarter ended June 30, 2026 that have materially affected, or that are reasonably likely to materially affect, our internal control over financial reporting.</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i9b"/>
      <w:bookmarkEnd w:id="21"/>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none of our directors or officers, as defined in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adopted, modified, or terminated any contract instruction or written plan for the purchase or sale of our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2" w:name="p3"/>
      <w:bookmarkEnd w:id="22"/>
      <w:r>
        <w:rPr>
          <w:rFonts w:ascii="Times New Roman" w:hAnsi="Times New Roman"/>
          <w:b/>
          <w:caps w:val="false"/>
          <w:smallCaps w:val="false"/>
          <w:sz w:val="20"/>
        </w:rPr>
        <w:t xml:space="preserve">PART 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information called for under Items </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of this Part III will be incorporated by reference from our definitive proxy statement to be filed on or before </w:t>
      </w:r>
      <w:r>
        <w:rPr>
          <w:rStyle w:val="Emphasis"/>
          <w:rFonts w:ascii="Times New Roman" w:hAnsi="Times New Roman"/>
          <w:caps w:val="false"/>
          <w:smallCaps w:val="false"/>
          <w:sz w:val="20"/>
        </w:rPr>
        <w:t>October 28, 2026</w:t>
      </w:r>
      <w:r>
        <w:rPr>
          <w:rFonts w:ascii="Times New Roman" w:hAnsi="Times New Roman"/>
          <w:caps w:val="false"/>
          <w:smallCaps w:val="false"/>
          <w:sz w:val="20"/>
        </w:rPr>
        <w:t xml:space="preserve"> for our Annual Meeting of Stockholders to be held on </w:t>
      </w:r>
      <w:r>
        <w:rPr>
          <w:rStyle w:val="Emphasis"/>
          <w:rFonts w:ascii="Times New Roman" w:hAnsi="Times New Roman"/>
          <w:caps w:val="false"/>
          <w:smallCaps w:val="false"/>
          <w:sz w:val="20"/>
        </w:rPr>
        <w:t>December 11,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3" w:name="p4"/>
      <w:bookmarkEnd w:id="23"/>
      <w:r>
        <w:rPr>
          <w:rFonts w:ascii="Times New Roman" w:hAnsi="Times New Roman"/>
          <w:b/>
          <w:caps w:val="false"/>
          <w:smallCaps w:val="false"/>
          <w:sz w:val="20"/>
        </w:rPr>
        <w:t xml:space="preserve">PART IV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4" w:name="i15"/>
      <w:bookmarkEnd w:id="2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documents are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60"/>
        <w:gridCol w:w="245"/>
        <w:gridCol w:w="80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8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Financial Statements</w:t>
            </w:r>
            <w:r>
              <w:rPr>
                <w:rFonts w:ascii="Times New Roman;Times;serif" w:hAnsi="Times New Roman;Times;serif"/>
                <w:caps w:val="false"/>
                <w:smallCaps w:val="false"/>
                <w:sz w:val="20"/>
              </w:rPr>
              <w:t>. The financial statements listed below are included under Item 8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110"/>
        <w:gridCol w:w="48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 as of June 30, 2026 and 2025;</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110"/>
        <w:gridCol w:w="8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Operations and Comprehensive Loss for the years ended June 30, 2026 and 2025;</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60"/>
        <w:gridCol w:w="110"/>
        <w:gridCol w:w="76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Stockholders’ Equity for the years ended June 30, 2026 and 2025;</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60"/>
        <w:gridCol w:w="110"/>
        <w:gridCol w:w="72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Cash Flows for the years ended June 30, 2026 and 2025; and</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10"/>
        <w:gridCol w:w="36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245"/>
        <w:gridCol w:w="95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Exhibits</w:t>
            </w:r>
            <w:r>
              <w:rPr>
                <w:rFonts w:ascii="Times New Roman;Times;serif" w:hAnsi="Times New Roman;Times;serif"/>
                <w:caps w:val="false"/>
                <w:smallCaps w:val="false"/>
                <w:sz w:val="20"/>
              </w:rPr>
              <w:t>. The following exhibit index shows those exhibits filed with this report and those incorporated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INDEX</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4879"/>
        <w:gridCol w:w="60"/>
        <w:gridCol w:w="4541"/>
      </w:tblGrid>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w:t>
              <w:br/>
              <w:t>Number</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3(i)</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rPr>
                <w:t>Amended and Restated Certificate of Incorporation of Natural Alternatives International, Inc. filed with the Delaware Secretary of State on January 14, 2005</w:t>
              </w:r>
            </w:hyperlink>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3(i) of NAI’s Quarterly Report on Form 10-Q for the quarterly period ended December 31, 2004, filed with the commission on February 14, 2005</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3(ii)</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rPr>
                <w:t>Amended and Restated By-laws of Natural Alternatives International, Inc. dated as of February 9, 2009</w:t>
              </w:r>
            </w:hyperlink>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3(ii) of NAI’s Current Report on Form 8-K dated February 9, 2009, filed with the commission on February 13, 2009</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4(i)</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Form of NAI’s Common Stock Certificate</w:t>
              </w:r>
            </w:hyperlink>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4(i) of NAI’s Annual Report on Form 10-K for the fiscal year ended June 30, 2005, filed with the commission on September 8, 2005</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Lease of Facilities in Vista, California between NAI and Calwest Industrial Properties, LLC, a California limited liability company (lease reference date June 12, 2003)</w:t>
              </w:r>
            </w:hyperlink>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10.10 of NAI’s Quarterly Report on Form 10-Q for the quarterly period ended September 30, 2003, filed with the commission on November 5, 2003</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Form of Indemnification Agreement entered into between NAI and each of its directors</w:t>
              </w:r>
            </w:hyperlink>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10.15 of NAI’s Annual Report on Form 10-K for the fiscal year ended June 30, 2004, filed with the commission on September 14, 2004</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2009 Omnibus Incentive Plan*</w:t>
              </w:r>
            </w:hyperlink>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Attachment D of NAI’s definitive Proxy Statement filed with the commission on October 16, 2009</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rPr>
                <w:t>Nonqualified Incentive Plan*</w:t>
              </w:r>
            </w:hyperlink>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 to NAI’s Current Report on Form 8-K dated July 16, 2020, filed with the commission on July 22, 2020</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License and Fee Agreement effective November 10, 2010 by and among Roger Harris, Mark Dunnett, Kenny Johansson and NAI</w:t>
              </w:r>
            </w:hyperlink>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10.40 of NAI’s Quarterly Report on Form 10-Q for the quarterly period ended September 30, 2010, filed with the commission on November 12, 2010</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4879"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ISDA 2002 Master Agreement dated as of March 10, 2011 by and between Bank of America N.A. and NAI (with Schedule dated March 10, 2011)</w:t>
              </w:r>
            </w:hyperlink>
          </w:p>
        </w:tc>
        <w:tc>
          <w:tcPr>
            <w:tcW w:w="60" w:type="dxa"/>
            <w:tcBorders/>
            <w:vAlign w:val="center"/>
          </w:tcPr>
          <w:p>
            <w:pPr>
              <w:pStyle w:val="TableContents"/>
              <w:bidi w:val="0"/>
              <w:spacing w:before="0" w:after="283"/>
              <w:jc w:val="left"/>
              <w:rPr/>
            </w:pPr>
            <w:r>
              <w:rPr/>
              <w:t> </w:t>
            </w:r>
          </w:p>
        </w:tc>
        <w:tc>
          <w:tcPr>
            <w:tcW w:w="45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10.31 of NAI’s Quarterly Report on Form 10-Q for the quarterly period ended March 31, 2011, filed with the commission on May 16, 2011</w:t>
            </w:r>
          </w:p>
        </w:tc>
      </w:tr>
    </w:tbl>
    <w:tbl>
      <w:tblPr>
        <w:tblW w:w="10205" w:type="dxa"/>
        <w:jc w:val="left"/>
        <w:tblInd w:w="0" w:type="dxa"/>
        <w:tblLayout w:type="fixed"/>
        <w:tblCellMar>
          <w:top w:w="0" w:type="dxa"/>
          <w:left w:w="0" w:type="dxa"/>
          <w:bottom w:w="0" w:type="dxa"/>
          <w:right w:w="0" w:type="dxa"/>
        </w:tblCellMar>
      </w:tblPr>
      <w:tblGrid>
        <w:gridCol w:w="485"/>
        <w:gridCol w:w="60"/>
        <w:gridCol w:w="4803"/>
        <w:gridCol w:w="60"/>
        <w:gridCol w:w="4797"/>
      </w:tblGrid>
      <w:tr>
        <w:trPr/>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4803"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rPr>
                <w:t>Third amendment to the Lease of Facilities in Vista, California between NAI and CWCA Vista Distribution 77, LLC, a Delaware limited liability company</w:t>
              </w:r>
            </w:hyperlink>
          </w:p>
        </w:tc>
        <w:tc>
          <w:tcPr>
            <w:tcW w:w="60" w:type="dxa"/>
            <w:tcBorders/>
            <w:vAlign w:val="center"/>
          </w:tcPr>
          <w:p>
            <w:pPr>
              <w:pStyle w:val="TableContents"/>
              <w:bidi w:val="0"/>
              <w:spacing w:before="0" w:after="283"/>
              <w:jc w:val="left"/>
              <w:rPr/>
            </w:pPr>
            <w:r>
              <w:rPr/>
              <w:t> </w:t>
            </w:r>
          </w:p>
        </w:tc>
        <w:tc>
          <w:tcPr>
            <w:tcW w:w="47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10.40 of NAI’s Annual Report on Form 10-K for the fiscal year ended June 30, 2013, filed with the commission on September 19, 2013</w:t>
            </w:r>
          </w:p>
        </w:tc>
      </w:tr>
      <w:tr>
        <w:trPr/>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vAlign w:val="center"/>
          </w:tcPr>
          <w:p>
            <w:pPr>
              <w:pStyle w:val="TableContents"/>
              <w:bidi w:val="0"/>
              <w:spacing w:before="0" w:after="283"/>
              <w:jc w:val="left"/>
              <w:rPr/>
            </w:pPr>
            <w:r>
              <w:rPr/>
              <w:t> </w:t>
            </w:r>
          </w:p>
        </w:tc>
        <w:tc>
          <w:tcPr>
            <w:tcW w:w="4803"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rPr>
                <w:t>Lease of Facilities in Manno, Switzerland between NAIE and Mr. Silvio Tarchini effective July 1, 2014 (English translation)</w:t>
              </w:r>
            </w:hyperlink>
          </w:p>
        </w:tc>
        <w:tc>
          <w:tcPr>
            <w:tcW w:w="60" w:type="dxa"/>
            <w:tcBorders/>
            <w:vAlign w:val="center"/>
          </w:tcPr>
          <w:p>
            <w:pPr>
              <w:pStyle w:val="TableContents"/>
              <w:bidi w:val="0"/>
              <w:spacing w:before="0" w:after="283"/>
              <w:jc w:val="left"/>
              <w:rPr/>
            </w:pPr>
            <w:r>
              <w:rPr/>
              <w:t> </w:t>
            </w:r>
          </w:p>
        </w:tc>
        <w:tc>
          <w:tcPr>
            <w:tcW w:w="47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10.38 of NAI’s Annual Report on Form 10-K for the fiscal year ended June 30, 2014, filed with the commission on September 25, 2014.</w:t>
            </w:r>
          </w:p>
        </w:tc>
      </w:tr>
      <w:tr>
        <w:trPr/>
        <w:tc>
          <w:tcPr>
            <w:tcW w:w="485" w:type="dxa"/>
            <w:tcBorders/>
            <w:vAlign w:val="center"/>
          </w:tcPr>
          <w:p>
            <w:pPr>
              <w:pStyle w:val="TableContents"/>
              <w:bidi w:val="0"/>
              <w:spacing w:before="0" w:after="283"/>
              <w:jc w:val="left"/>
              <w:rPr/>
            </w:pPr>
            <w:r>
              <w:rPr/>
              <w:t>10.9</w:t>
            </w:r>
          </w:p>
        </w:tc>
        <w:tc>
          <w:tcPr>
            <w:tcW w:w="60" w:type="dxa"/>
            <w:tcBorders/>
            <w:vAlign w:val="center"/>
          </w:tcPr>
          <w:p>
            <w:pPr>
              <w:pStyle w:val="TableContents"/>
              <w:bidi w:val="0"/>
              <w:spacing w:before="0" w:after="283"/>
              <w:jc w:val="left"/>
              <w:rPr/>
            </w:pPr>
            <w:r>
              <w:rPr/>
              <w:t> </w:t>
            </w:r>
          </w:p>
        </w:tc>
        <w:tc>
          <w:tcPr>
            <w:tcW w:w="4803"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rPr>
                <w:t>Amended and Restated Employment Agreement, by and between NAI and Mark A. LeDoux, effective October 1, 2015*</w:t>
              </w:r>
            </w:hyperlink>
          </w:p>
        </w:tc>
        <w:tc>
          <w:tcPr>
            <w:tcW w:w="60" w:type="dxa"/>
            <w:tcBorders/>
            <w:vAlign w:val="center"/>
          </w:tcPr>
          <w:p>
            <w:pPr>
              <w:pStyle w:val="TableContents"/>
              <w:bidi w:val="0"/>
              <w:spacing w:before="0" w:after="283"/>
              <w:jc w:val="left"/>
              <w:rPr/>
            </w:pPr>
            <w:r>
              <w:rPr/>
              <w:t> </w:t>
            </w:r>
          </w:p>
        </w:tc>
        <w:tc>
          <w:tcPr>
            <w:tcW w:w="47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 of NAI’s Current Report on Form 8-K dated October 1, 2015, filed with the commission on October 1, 2015.</w:t>
            </w:r>
          </w:p>
        </w:tc>
      </w:tr>
      <w:tr>
        <w:trPr/>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vAlign w:val="center"/>
          </w:tcPr>
          <w:p>
            <w:pPr>
              <w:pStyle w:val="TableContents"/>
              <w:bidi w:val="0"/>
              <w:spacing w:before="0" w:after="283"/>
              <w:jc w:val="left"/>
              <w:rPr/>
            </w:pPr>
            <w:r>
              <w:rPr/>
              <w:t> </w:t>
            </w:r>
          </w:p>
        </w:tc>
        <w:tc>
          <w:tcPr>
            <w:tcW w:w="4803"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rPr>
                <w:t>Amended and Restated Employment Agreement, by and between NAI and Kenneth E. Wolf, effective October 1, 2015*</w:t>
              </w:r>
            </w:hyperlink>
          </w:p>
        </w:tc>
        <w:tc>
          <w:tcPr>
            <w:tcW w:w="60" w:type="dxa"/>
            <w:tcBorders/>
            <w:vAlign w:val="center"/>
          </w:tcPr>
          <w:p>
            <w:pPr>
              <w:pStyle w:val="TableContents"/>
              <w:bidi w:val="0"/>
              <w:spacing w:before="0" w:after="283"/>
              <w:jc w:val="left"/>
              <w:rPr/>
            </w:pPr>
            <w:r>
              <w:rPr/>
              <w:t> </w:t>
            </w:r>
          </w:p>
        </w:tc>
        <w:tc>
          <w:tcPr>
            <w:tcW w:w="47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10.2 of NAI’s Current Report on Form 8-K dated October 1, 2015, filed with the commission on October 1, 2015.</w:t>
            </w:r>
          </w:p>
        </w:tc>
      </w:tr>
      <w:tr>
        <w:trPr/>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vAlign w:val="center"/>
          </w:tcPr>
          <w:p>
            <w:pPr>
              <w:pStyle w:val="TableContents"/>
              <w:bidi w:val="0"/>
              <w:spacing w:before="0" w:after="283"/>
              <w:jc w:val="left"/>
              <w:rPr/>
            </w:pPr>
            <w:r>
              <w:rPr/>
              <w:t> </w:t>
            </w:r>
          </w:p>
        </w:tc>
        <w:tc>
          <w:tcPr>
            <w:tcW w:w="4803"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rPr>
                <w:t>Amended and Restated Employment Agreement, by and between NAI and Michael E. Fortin, effective October 1, 2015*</w:t>
              </w:r>
            </w:hyperlink>
          </w:p>
        </w:tc>
        <w:tc>
          <w:tcPr>
            <w:tcW w:w="60" w:type="dxa"/>
            <w:tcBorders/>
            <w:vAlign w:val="center"/>
          </w:tcPr>
          <w:p>
            <w:pPr>
              <w:pStyle w:val="TableContents"/>
              <w:bidi w:val="0"/>
              <w:spacing w:before="0" w:after="283"/>
              <w:jc w:val="left"/>
              <w:rPr/>
            </w:pPr>
            <w:r>
              <w:rPr/>
              <w:t> </w:t>
            </w:r>
          </w:p>
        </w:tc>
        <w:tc>
          <w:tcPr>
            <w:tcW w:w="47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10.3 of NAI’s Quarterly Report on Form 10-Q for the quarterly period ended September 30, 2015, filed with the commission on November 12, 2015.</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60"/>
        <w:gridCol w:w="4703"/>
        <w:gridCol w:w="60"/>
        <w:gridCol w:w="4897"/>
      </w:tblGrid>
      <w:tr>
        <w:trPr/>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10.12</w:t>
            </w:r>
          </w:p>
        </w:tc>
        <w:tc>
          <w:tcPr>
            <w:tcW w:w="60" w:type="dxa"/>
            <w:tcBorders/>
            <w:vAlign w:val="center"/>
          </w:tcPr>
          <w:p>
            <w:pPr>
              <w:pStyle w:val="TableContents"/>
              <w:bidi w:val="0"/>
              <w:spacing w:before="0" w:after="283"/>
              <w:jc w:val="left"/>
              <w:rPr/>
            </w:pPr>
            <w:r>
              <w:rPr/>
              <w:t> </w:t>
            </w:r>
          </w:p>
        </w:tc>
        <w:tc>
          <w:tcPr>
            <w:tcW w:w="4703"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First amendment to credit agreement by and between NAI and the Wells Fargo Bank N.A. effective as of February 1, 2016</w:t>
              </w:r>
            </w:hyperlink>
          </w:p>
        </w:tc>
        <w:tc>
          <w:tcPr>
            <w:tcW w:w="60" w:type="dxa"/>
            <w:tcBorders/>
            <w:vAlign w:val="center"/>
          </w:tcPr>
          <w:p>
            <w:pPr>
              <w:pStyle w:val="TableContents"/>
              <w:bidi w:val="0"/>
              <w:spacing w:before="0" w:after="283"/>
              <w:jc w:val="left"/>
              <w:rPr/>
            </w:pPr>
            <w:r>
              <w:rPr/>
              <w:t> </w:t>
            </w:r>
          </w:p>
        </w:tc>
        <w:tc>
          <w:tcPr>
            <w:tcW w:w="48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10.01 of NAI’s Quarterly Report on Form 10-Q for the quarterly period ended December 31, 2015, filed with the commission on February 9, 2016.</w:t>
            </w:r>
          </w:p>
        </w:tc>
      </w:tr>
      <w:tr>
        <w:trPr/>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10.13</w:t>
            </w:r>
          </w:p>
        </w:tc>
        <w:tc>
          <w:tcPr>
            <w:tcW w:w="60" w:type="dxa"/>
            <w:tcBorders/>
            <w:vAlign w:val="center"/>
          </w:tcPr>
          <w:p>
            <w:pPr>
              <w:pStyle w:val="TableContents"/>
              <w:bidi w:val="0"/>
              <w:spacing w:before="0" w:after="283"/>
              <w:jc w:val="left"/>
              <w:rPr/>
            </w:pPr>
            <w:r>
              <w:rPr/>
              <w:t> </w:t>
            </w:r>
          </w:p>
        </w:tc>
        <w:tc>
          <w:tcPr>
            <w:tcW w:w="4703"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rPr>
                <w:t>First amendment to the Amended and Restated Employment Agreement, by and between NAI and Michael E. Fortin, effective September 1, 2016*</w:t>
              </w:r>
            </w:hyperlink>
          </w:p>
        </w:tc>
        <w:tc>
          <w:tcPr>
            <w:tcW w:w="60" w:type="dxa"/>
            <w:tcBorders/>
            <w:vAlign w:val="center"/>
          </w:tcPr>
          <w:p>
            <w:pPr>
              <w:pStyle w:val="TableContents"/>
              <w:bidi w:val="0"/>
              <w:spacing w:before="0" w:after="283"/>
              <w:jc w:val="left"/>
              <w:rPr/>
            </w:pPr>
            <w:r>
              <w:rPr/>
              <w:t> </w:t>
            </w:r>
          </w:p>
        </w:tc>
        <w:tc>
          <w:tcPr>
            <w:tcW w:w="48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NAI’s Current Report on Form 8-K dated September 1, 2016, filed with the commission on September 6, 2016</w:t>
            </w:r>
          </w:p>
        </w:tc>
      </w:tr>
      <w:tr>
        <w:trPr/>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10.14</w:t>
            </w:r>
          </w:p>
        </w:tc>
        <w:tc>
          <w:tcPr>
            <w:tcW w:w="60" w:type="dxa"/>
            <w:tcBorders/>
            <w:vAlign w:val="center"/>
          </w:tcPr>
          <w:p>
            <w:pPr>
              <w:pStyle w:val="TableContents"/>
              <w:bidi w:val="0"/>
              <w:spacing w:before="0" w:after="283"/>
              <w:jc w:val="left"/>
              <w:rPr/>
            </w:pPr>
            <w:r>
              <w:rPr/>
              <w:t> </w:t>
            </w:r>
          </w:p>
        </w:tc>
        <w:tc>
          <w:tcPr>
            <w:tcW w:w="4703"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rPr>
                <w:t>First amendment to the Amended and Restated Employment Agreement, by and between NAI and Mark A. LeDoux, effective July 1, 2018*</w:t>
              </w:r>
            </w:hyperlink>
          </w:p>
        </w:tc>
        <w:tc>
          <w:tcPr>
            <w:tcW w:w="60" w:type="dxa"/>
            <w:tcBorders/>
            <w:vAlign w:val="center"/>
          </w:tcPr>
          <w:p>
            <w:pPr>
              <w:pStyle w:val="TableContents"/>
              <w:bidi w:val="0"/>
              <w:spacing w:before="0" w:after="283"/>
              <w:jc w:val="left"/>
              <w:rPr/>
            </w:pPr>
            <w:r>
              <w:rPr/>
              <w:t> </w:t>
            </w:r>
          </w:p>
        </w:tc>
        <w:tc>
          <w:tcPr>
            <w:tcW w:w="48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 of NAI’s Quarterly Report on Form 10-Q for the quarterly period ended September 30, 2018, filed with the commission on November 13, 2018</w:t>
            </w:r>
          </w:p>
        </w:tc>
      </w:tr>
    </w:tbl>
    <w:tbl>
      <w:tblPr>
        <w:tblW w:w="10205" w:type="dxa"/>
        <w:jc w:val="left"/>
        <w:tblInd w:w="0" w:type="dxa"/>
        <w:tblLayout w:type="fixed"/>
        <w:tblCellMar>
          <w:top w:w="0" w:type="dxa"/>
          <w:left w:w="0" w:type="dxa"/>
          <w:bottom w:w="0" w:type="dxa"/>
          <w:right w:w="0" w:type="dxa"/>
        </w:tblCellMar>
      </w:tblPr>
      <w:tblGrid>
        <w:gridCol w:w="485"/>
        <w:gridCol w:w="60"/>
        <w:gridCol w:w="4655"/>
        <w:gridCol w:w="60"/>
        <w:gridCol w:w="4945"/>
      </w:tblGrid>
      <w:tr>
        <w:trPr/>
        <w:tc>
          <w:tcPr>
            <w:tcW w:w="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10.15</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caps w:val="false"/>
                  <w:smallCaps w:val="false"/>
                  <w:sz w:val="20"/>
                </w:rPr>
                <w:t>First amendment to the Amended and Restated Employment Agreement, by and between NAI and Kenneth E. Wolf, effective July 1, 2018*</w:t>
              </w:r>
            </w:hyperlink>
          </w:p>
        </w:tc>
        <w:tc>
          <w:tcPr>
            <w:tcW w:w="6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10.2 of NAI’s Quarterly Report on Form 10-Q for the quarterly period ended September 30, 2018, filed with the commission on November 13, 2018</w:t>
            </w:r>
          </w:p>
        </w:tc>
      </w:tr>
      <w:tr>
        <w:trPr/>
        <w:tc>
          <w:tcPr>
            <w:tcW w:w="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10.16</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caps w:val="false"/>
                  <w:smallCaps w:val="false"/>
                  <w:sz w:val="20"/>
                </w:rPr>
                <w:t>Second amendment to the Amended and Restated Employment Agreement, by and between NAI and Michael E. Fortin, effective July 1, 2018*</w:t>
              </w:r>
            </w:hyperlink>
          </w:p>
        </w:tc>
        <w:tc>
          <w:tcPr>
            <w:tcW w:w="6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10.3 of NAI’s Quarterly Report on Form 10-Q for the quarterly period ended September 30, 2018, filed with the commission on November 13, 2018</w:t>
            </w:r>
          </w:p>
        </w:tc>
      </w:tr>
      <w:tr>
        <w:trPr/>
        <w:tc>
          <w:tcPr>
            <w:tcW w:w="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10.17</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caps w:val="false"/>
                  <w:smallCaps w:val="false"/>
                  <w:sz w:val="20"/>
                </w:rPr>
                <w:t>Lease of Facilities in Manno, Switzerland between NAIE and Mr. Silvio Tarchini dated October 19, 2018</w:t>
              </w:r>
            </w:hyperlink>
          </w:p>
        </w:tc>
        <w:tc>
          <w:tcPr>
            <w:tcW w:w="6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10.4 of NAI’s Quarterly Report on Form 10-Q for the quarterly period ended September 30, 2018, filed with the commission on November 13, 2018</w:t>
            </w:r>
          </w:p>
        </w:tc>
      </w:tr>
    </w:tbl>
    <w:tbl>
      <w:tblPr>
        <w:tblW w:w="10205" w:type="dxa"/>
        <w:jc w:val="left"/>
        <w:tblInd w:w="0" w:type="dxa"/>
        <w:tblLayout w:type="fixed"/>
        <w:tblCellMar>
          <w:top w:w="0" w:type="dxa"/>
          <w:left w:w="0" w:type="dxa"/>
          <w:bottom w:w="0" w:type="dxa"/>
          <w:right w:w="0" w:type="dxa"/>
        </w:tblCellMar>
      </w:tblPr>
      <w:tblGrid>
        <w:gridCol w:w="485"/>
        <w:gridCol w:w="60"/>
        <w:gridCol w:w="3990"/>
        <w:gridCol w:w="60"/>
        <w:gridCol w:w="5610"/>
      </w:tblGrid>
      <w:tr>
        <w:trPr/>
        <w:tc>
          <w:tcPr>
            <w:tcW w:w="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10.18</w:t>
            </w:r>
          </w:p>
        </w:tc>
        <w:tc>
          <w:tcPr>
            <w:tcW w:w="60" w:type="dxa"/>
            <w:tcBorders/>
            <w:vAlign w:val="center"/>
          </w:tcPr>
          <w:p>
            <w:pPr>
              <w:pStyle w:val="TableContents"/>
              <w:bidi w:val="0"/>
              <w:spacing w:before="0" w:after="283"/>
              <w:jc w:val="left"/>
              <w:rPr/>
            </w:pPr>
            <w:r>
              <w:rPr/>
              <w:t> </w:t>
            </w:r>
          </w:p>
        </w:tc>
        <w:tc>
          <w:tcPr>
            <w:tcW w:w="3990"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caps w:val="false"/>
                  <w:smallCaps w:val="false"/>
                  <w:sz w:val="20"/>
                </w:rPr>
                <w:t>Lease of Parking Places in Manno, Switzerland between NAIE and Mr. Silvio Tarchini dated October 19, 2018</w:t>
              </w:r>
            </w:hyperlink>
          </w:p>
        </w:tc>
        <w:tc>
          <w:tcPr>
            <w:tcW w:w="60" w:type="dxa"/>
            <w:tcBorders/>
            <w:vAlign w:val="center"/>
          </w:tcPr>
          <w:p>
            <w:pPr>
              <w:pStyle w:val="TableContents"/>
              <w:bidi w:val="0"/>
              <w:spacing w:before="0" w:after="283"/>
              <w:jc w:val="left"/>
              <w:rPr/>
            </w:pPr>
            <w:r>
              <w:rPr/>
              <w:t> </w:t>
            </w:r>
          </w:p>
        </w:tc>
        <w:tc>
          <w:tcPr>
            <w:tcW w:w="5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10.5 of NAI’s Quarterly Report on Form 10-Q for the quarterly period ended September 30, 2018, filed with the commission on November 13, 2018</w:t>
            </w:r>
          </w:p>
        </w:tc>
      </w:tr>
    </w:tbl>
    <w:tbl>
      <w:tblPr>
        <w:tblW w:w="10205" w:type="dxa"/>
        <w:jc w:val="left"/>
        <w:tblInd w:w="0" w:type="dxa"/>
        <w:tblLayout w:type="fixed"/>
        <w:tblCellMar>
          <w:top w:w="0" w:type="dxa"/>
          <w:left w:w="0" w:type="dxa"/>
          <w:bottom w:w="0" w:type="dxa"/>
          <w:right w:w="0" w:type="dxa"/>
        </w:tblCellMar>
      </w:tblPr>
      <w:tblGrid>
        <w:gridCol w:w="497"/>
        <w:gridCol w:w="76"/>
        <w:gridCol w:w="5309"/>
        <w:gridCol w:w="76"/>
        <w:gridCol w:w="4247"/>
      </w:tblGrid>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10.19</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caps w:val="false"/>
                  <w:smallCaps w:val="false"/>
                  <w:sz w:val="20"/>
                </w:rPr>
                <w:t>Lease of Facilities in Manno, Switzerland between NAIE and Sofinol SA dated November 5, 2018</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10.6 of NAI’s Quarterly Report on Form 10-Q for the quarterly period ended September 30, 2018, filed with the commission on November 13, 2018</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10.20</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caps w:val="false"/>
                  <w:smallCaps w:val="false"/>
                  <w:sz w:val="20"/>
                </w:rPr>
                <w:t>Amended and Restated Exclusive Manufacturing Agreement with Juice Plus+ dated March 31, 2019</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10.48 of NAI’s Current Report on Form 8-K Form 8-K dated March 31, 2019, filed with the commission on April 5, 2019</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10.21</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caps w:val="false"/>
                  <w:smallCaps w:val="false"/>
                  <w:sz w:val="20"/>
                </w:rPr>
                <w:t>Third amendment to the Amended and Restated Employment Agreement, by and between NAI and Michael E. Fortin, effective July 1, 2019*</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10.61 of NAI's Annual Report on Form 10-K for the annual period ended June 30, 2019, filed with the commission on September 24, 2019</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10.22</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caps w:val="false"/>
                  <w:smallCaps w:val="false"/>
                  <w:sz w:val="20"/>
                </w:rPr>
                <w:t>Second amendment to the Amended and Restated Employment Agreement, by and between NAI and Mark LeDoux, effective July 1, 2021*</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10.65 of NAI’s Current Report on Form 8-K dated July 1, 2021, filed with the commission on July 9, 2021</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10.23</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caps w:val="false"/>
                  <w:smallCaps w:val="false"/>
                  <w:sz w:val="20"/>
                </w:rPr>
                <w:t>Second amendment to the Amended and Restated Employment Agreement, by and between NAI and Kenneth E. Wolf, effective July 1, 2021*</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10.66 of NAI’s Current Report on Form 8-K dated July 1, 2021, filed with the commission on July 9, 2021</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10.24</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caps w:val="false"/>
                  <w:smallCaps w:val="false"/>
                  <w:sz w:val="20"/>
                </w:rPr>
                <w:t>Fourth amendment to the Amended and Restated Employment Agreement, by and between NAI and Michael E. Fortin, effective July 1, 2021*</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10.67 of NAI’s Current Report on Form 8-K dated July 1, 2021, filed with the commission on July 9, 2021</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10.25</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caps w:val="false"/>
                  <w:smallCaps w:val="false"/>
                  <w:sz w:val="20"/>
                </w:rPr>
                <w:t>Credit Agreement by and between NAI and Wells Fargo Bank, N.A. effective as of May 24, 2021</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10.1 of NAI’s Current Report on Form 8-K dated May 24, 2021 filed with the commission on May 27, 2021</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10.26</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caps w:val="false"/>
                  <w:smallCaps w:val="false"/>
                  <w:sz w:val="20"/>
                </w:rPr>
                <w:t>2020 Omnibus Incentive Plan*</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I of NAI’s definitive Proxy Statement filed with the commission on October 26, 2020</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10.27</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caps w:val="false"/>
                  <w:smallCaps w:val="false"/>
                  <w:sz w:val="20"/>
                </w:rPr>
                <w:t>First Amendment to Credit Agreement by and between NAI and Wells Fargo Bank, N.A. effective as of August 16, 2021</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10.3 of NAI’s Current Report on Form 8-K dated August 16, 2021 filed with the commission on August 24, 2021</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10.28</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caps w:val="false"/>
                  <w:smallCaps w:val="false"/>
                  <w:sz w:val="20"/>
                </w:rPr>
                <w:t>Revolving Line of Credit Note made by NAI for the benefit of Wells Fargo Bank. N.A. dated August 16, 2021 in the amount of $20,000,000</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10.4 of NAI’s Current Report on Form 8-K dated August 16, 2021 filed with the commission on August 24, 2021</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10.29</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caps w:val="false"/>
                  <w:smallCaps w:val="false"/>
                  <w:sz w:val="20"/>
                </w:rPr>
                <w:t>Term Note by and between NAI and Wells Fargo Bank, N.A. effective as of August 16, 2021</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10.5 of NAI’s Current Report on Form 8-K dated August 16, 2021 filed with the commission on August 24, 2021</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10.30</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caps w:val="false"/>
                  <w:smallCaps w:val="false"/>
                  <w:sz w:val="20"/>
                </w:rPr>
                <w:t>Security Agreement by and between NAI and Wells Fargo Bank, N.A. effective as of August 16. 2021</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10.6 of NAI’s Current Report on Form 8-K dated August 16, 2021 filed with the commission on August 24, 2021</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10.31</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caps w:val="false"/>
                  <w:smallCaps w:val="false"/>
                  <w:sz w:val="20"/>
                </w:rPr>
                <w:t>Second Amendment to Credit Agreement by and between NAI and Wells Fargo Bank, N.A. effective January 31, 2022</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10.33 of NAI’s Quarterly Report on Form 10-Q for the quarterly period ended December 31, 2021, filed with the commission on February 9, 2022</w:t>
            </w:r>
          </w:p>
        </w:tc>
      </w:tr>
      <w:tr>
        <w:trPr/>
        <w:tc>
          <w:tcPr>
            <w:tcW w:w="4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10.32</w:t>
            </w:r>
          </w:p>
        </w:tc>
        <w:tc>
          <w:tcPr>
            <w:tcW w:w="76"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caps w:val="false"/>
                  <w:smallCaps w:val="false"/>
                  <w:sz w:val="20"/>
                </w:rPr>
                <w:t>Lease of Facilities in Manno, Switzerland between NAIE and Mr. Silvio Tarchini dated May 4, 2022</w:t>
              </w:r>
            </w:hyperlink>
          </w:p>
        </w:tc>
        <w:tc>
          <w:tcPr>
            <w:tcW w:w="76" w:type="dxa"/>
            <w:tcBorders/>
            <w:vAlign w:val="center"/>
          </w:tcPr>
          <w:p>
            <w:pPr>
              <w:pStyle w:val="TableContents"/>
              <w:bidi w:val="0"/>
              <w:spacing w:before="0" w:after="283"/>
              <w:jc w:val="left"/>
              <w:rPr/>
            </w:pPr>
            <w:r>
              <w:rPr/>
              <w:t> </w:t>
            </w:r>
          </w:p>
        </w:tc>
        <w:tc>
          <w:tcPr>
            <w:tcW w:w="42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10.34 of NAI's Annual Report on Form 10-K for the fiscal year ended June 30, 2022, filed with the commission on September 21, 2022.</w:t>
            </w:r>
          </w:p>
        </w:tc>
      </w:tr>
      <w:tr>
        <w:trPr/>
        <w:tc>
          <w:tcPr>
            <w:tcW w:w="497" w:type="dxa"/>
            <w:tcBorders/>
          </w:tcPr>
          <w:p>
            <w:pPr>
              <w:pStyle w:val="TableContents"/>
              <w:bidi w:val="0"/>
              <w:spacing w:before="0" w:after="0"/>
              <w:ind w:left="0" w:right="0" w:hanging="0"/>
              <w:jc w:val="left"/>
              <w:rPr/>
            </w:pPr>
            <w:r>
              <w:rPr/>
              <w:t> </w:t>
            </w:r>
          </w:p>
          <w:p>
            <w:pPr>
              <w:pStyle w:val="TableContents"/>
              <w:bidi w:val="0"/>
              <w:jc w:val="left"/>
              <w:rPr>
                <w:rFonts w:ascii="Times New Roman;serif" w:hAnsi="Times New Roman;serif"/>
                <w:color w:val="000000"/>
                <w:sz w:val="20"/>
              </w:rPr>
            </w:pPr>
            <w:r>
              <w:rPr>
                <w:rFonts w:ascii="Times New Roman;serif" w:hAnsi="Times New Roman;serif"/>
                <w:color w:val="000000"/>
                <w:sz w:val="20"/>
              </w:rPr>
              <w:t xml:space="preserve">10.33 </w:t>
            </w:r>
          </w:p>
          <w:p>
            <w:pPr>
              <w:pStyle w:val="TableContents"/>
              <w:bidi w:val="0"/>
              <w:spacing w:before="0" w:after="0"/>
              <w:ind w:left="0" w:right="0" w:hanging="0"/>
              <w:jc w:val="left"/>
              <w:rPr/>
            </w:pPr>
            <w:r>
              <w:rPr/>
              <w:t> </w:t>
            </w:r>
          </w:p>
        </w:tc>
        <w:tc>
          <w:tcPr>
            <w:tcW w:w="76" w:type="dxa"/>
            <w:tcBorders/>
          </w:tcPr>
          <w:p>
            <w:pPr>
              <w:pStyle w:val="TableContents"/>
              <w:bidi w:val="0"/>
              <w:spacing w:before="0" w:after="0"/>
              <w:ind w:left="0" w:right="0" w:hanging="0"/>
              <w:jc w:val="left"/>
              <w:rPr/>
            </w:pPr>
            <w:r>
              <w:rPr/>
              <w:t> </w:t>
            </w:r>
          </w:p>
        </w:tc>
        <w:tc>
          <w:tcPr>
            <w:tcW w:w="5309"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hyperlink r:id="rId37">
              <w:r>
                <w:rPr>
                  <w:rStyle w:val="InternetLink"/>
                  <w:rFonts w:ascii="Times New Roman;Times;serif" w:hAnsi="Times New Roman;Times;serif"/>
                  <w:sz w:val="20"/>
                </w:rPr>
                <w:t>Third Amendment to Credit Agreement by and between NAI and Wells Fargo effective as of September 19, 2022.</w:t>
              </w:r>
            </w:hyperlink>
          </w:p>
          <w:p>
            <w:pPr>
              <w:pStyle w:val="TableContents"/>
              <w:bidi w:val="0"/>
              <w:spacing w:before="0" w:after="0"/>
              <w:ind w:left="0" w:right="0" w:hanging="0"/>
              <w:jc w:val="left"/>
              <w:rPr/>
            </w:pPr>
            <w:r>
              <w:rPr/>
              <w:t> </w:t>
            </w:r>
          </w:p>
        </w:tc>
        <w:tc>
          <w:tcPr>
            <w:tcW w:w="76" w:type="dxa"/>
            <w:tcBorders/>
          </w:tcPr>
          <w:p>
            <w:pPr>
              <w:pStyle w:val="TableContents"/>
              <w:bidi w:val="0"/>
              <w:spacing w:before="0" w:after="0"/>
              <w:ind w:left="0" w:right="0" w:hanging="0"/>
              <w:jc w:val="left"/>
              <w:rPr/>
            </w:pPr>
            <w:r>
              <w:rPr/>
              <w:t> </w:t>
            </w:r>
          </w:p>
        </w:tc>
        <w:tc>
          <w:tcPr>
            <w:tcW w:w="4247" w:type="dxa"/>
            <w:tcBorders/>
          </w:tcPr>
          <w:p>
            <w:pPr>
              <w:pStyle w:val="TableContents"/>
              <w:bidi w:val="0"/>
              <w:spacing w:before="0" w:after="0"/>
              <w:ind w:left="0" w:right="0" w:hanging="0"/>
              <w:jc w:val="left"/>
              <w:rPr/>
            </w:pPr>
            <w:r>
              <w:rPr/>
              <w:t> </w:t>
            </w:r>
          </w:p>
          <w:p>
            <w:pPr>
              <w:pStyle w:val="TableContents"/>
              <w:bidi w:val="0"/>
              <w:jc w:val="left"/>
              <w:rPr>
                <w:rFonts w:ascii="Times New Roman;serif" w:hAnsi="Times New Roman;serif"/>
                <w:color w:val="000000"/>
                <w:sz w:val="20"/>
              </w:rPr>
            </w:pPr>
            <w:r>
              <w:rPr>
                <w:rFonts w:ascii="Times New Roman;serif" w:hAnsi="Times New Roman;serif"/>
                <w:color w:val="000000"/>
                <w:sz w:val="20"/>
              </w:rPr>
              <w:t xml:space="preserve">Exhibit 10.35 of NAI's Current Report on Form 8-K dated October 12, 2022, filed with the commission on October 13, 2022 </w:t>
            </w:r>
          </w:p>
          <w:p>
            <w:pPr>
              <w:pStyle w:val="TableContents"/>
              <w:bidi w:val="0"/>
              <w:spacing w:before="0" w:after="0"/>
              <w:ind w:left="0" w:right="0" w:hanging="0"/>
              <w:jc w:val="left"/>
              <w:rPr/>
            </w:pPr>
            <w:r>
              <w:rPr/>
              <w:t> </w:t>
            </w:r>
          </w:p>
        </w:tc>
      </w:tr>
      <w:tr>
        <w:trPr/>
        <w:tc>
          <w:tcPr>
            <w:tcW w:w="497" w:type="dxa"/>
            <w:tcBorders/>
          </w:tcPr>
          <w:p>
            <w:pPr>
              <w:pStyle w:val="TableContents"/>
              <w:bidi w:val="0"/>
              <w:spacing w:before="0" w:after="0"/>
              <w:ind w:left="0" w:right="0" w:hanging="0"/>
              <w:jc w:val="left"/>
              <w:rPr/>
            </w:pPr>
            <w:r>
              <w:rPr/>
              <w:t> </w:t>
            </w:r>
          </w:p>
          <w:p>
            <w:pPr>
              <w:pStyle w:val="TableContents"/>
              <w:bidi w:val="0"/>
              <w:jc w:val="left"/>
              <w:rPr>
                <w:rFonts w:ascii="Times New Roman;serif" w:hAnsi="Times New Roman;serif"/>
                <w:color w:val="000000"/>
                <w:sz w:val="20"/>
              </w:rPr>
            </w:pPr>
            <w:r>
              <w:rPr>
                <w:rFonts w:ascii="Times New Roman;serif" w:hAnsi="Times New Roman;serif"/>
                <w:color w:val="000000"/>
                <w:sz w:val="20"/>
              </w:rPr>
              <w:t xml:space="preserve">10.34 </w:t>
            </w:r>
          </w:p>
          <w:p>
            <w:pPr>
              <w:pStyle w:val="TableContents"/>
              <w:bidi w:val="0"/>
              <w:spacing w:before="0" w:after="0"/>
              <w:ind w:left="0" w:right="0" w:hanging="0"/>
              <w:jc w:val="left"/>
              <w:rPr/>
            </w:pPr>
            <w:r>
              <w:rPr/>
              <w:t> </w:t>
            </w:r>
          </w:p>
        </w:tc>
        <w:tc>
          <w:tcPr>
            <w:tcW w:w="76" w:type="dxa"/>
            <w:tcBorders/>
          </w:tcPr>
          <w:p>
            <w:pPr>
              <w:pStyle w:val="TableContents"/>
              <w:bidi w:val="0"/>
              <w:spacing w:before="0" w:after="0"/>
              <w:ind w:left="0" w:right="0" w:hanging="0"/>
              <w:jc w:val="left"/>
              <w:rPr/>
            </w:pPr>
            <w:r>
              <w:rPr/>
              <w:t> </w:t>
            </w:r>
          </w:p>
        </w:tc>
        <w:tc>
          <w:tcPr>
            <w:tcW w:w="5309" w:type="dxa"/>
            <w:tcBorders/>
          </w:tcPr>
          <w:p>
            <w:pPr>
              <w:pStyle w:val="TableContents"/>
              <w:bidi w:val="0"/>
              <w:spacing w:before="0" w:after="0"/>
              <w:ind w:left="0" w:right="0" w:hanging="0"/>
              <w:jc w:val="left"/>
              <w:rPr/>
            </w:pPr>
            <w:r>
              <w:rPr/>
              <w:t> </w:t>
            </w:r>
          </w:p>
          <w:p>
            <w:pPr>
              <w:pStyle w:val="TableContents"/>
              <w:bidi w:val="0"/>
              <w:jc w:val="left"/>
              <w:rPr/>
            </w:pPr>
            <w:hyperlink r:id="rId38">
              <w:r>
                <w:rPr>
                  <w:rStyle w:val="InternetLink"/>
                  <w:rFonts w:ascii="Times New Roman;serif" w:hAnsi="Times New Roman;serif"/>
                  <w:sz w:val="20"/>
                </w:rPr>
                <w:t>Revolving Line of Credit Note made by NAI for the benefit of Wells Fargo dated September 19, 2022 in the amount of $20,000,000.</w:t>
              </w:r>
            </w:hyperlink>
            <w:r>
              <w:rPr>
                <w:rFonts w:ascii="Times New Roman;serif" w:hAnsi="Times New Roman;serif"/>
                <w:sz w:val="20"/>
              </w:rPr>
              <w:t xml:space="preserve"> </w:t>
            </w:r>
          </w:p>
          <w:p>
            <w:pPr>
              <w:pStyle w:val="TableContents"/>
              <w:bidi w:val="0"/>
              <w:spacing w:before="0" w:after="0"/>
              <w:ind w:left="0" w:right="0" w:hanging="0"/>
              <w:jc w:val="left"/>
              <w:rPr/>
            </w:pPr>
            <w:r>
              <w:rPr/>
              <w:t> </w:t>
            </w:r>
          </w:p>
        </w:tc>
        <w:tc>
          <w:tcPr>
            <w:tcW w:w="76" w:type="dxa"/>
            <w:tcBorders/>
          </w:tcPr>
          <w:p>
            <w:pPr>
              <w:pStyle w:val="TableContents"/>
              <w:bidi w:val="0"/>
              <w:spacing w:before="0" w:after="0"/>
              <w:ind w:left="0" w:right="0" w:hanging="0"/>
              <w:jc w:val="left"/>
              <w:rPr/>
            </w:pPr>
            <w:r>
              <w:rPr/>
              <w:t> </w:t>
            </w:r>
          </w:p>
        </w:tc>
        <w:tc>
          <w:tcPr>
            <w:tcW w:w="4247" w:type="dxa"/>
            <w:tcBorders/>
          </w:tcPr>
          <w:p>
            <w:pPr>
              <w:pStyle w:val="TableContents"/>
              <w:bidi w:val="0"/>
              <w:spacing w:before="0" w:after="0"/>
              <w:ind w:left="0" w:right="0" w:hanging="0"/>
              <w:jc w:val="left"/>
              <w:rPr/>
            </w:pPr>
            <w:r>
              <w:rPr/>
              <w:t> </w:t>
            </w:r>
          </w:p>
          <w:p>
            <w:pPr>
              <w:pStyle w:val="TableContents"/>
              <w:bidi w:val="0"/>
              <w:jc w:val="left"/>
              <w:rPr>
                <w:rFonts w:ascii="Times New Roman;serif" w:hAnsi="Times New Roman;serif"/>
                <w:color w:val="000000"/>
                <w:sz w:val="20"/>
              </w:rPr>
            </w:pPr>
            <w:r>
              <w:rPr>
                <w:rFonts w:ascii="Times New Roman;serif" w:hAnsi="Times New Roman;serif"/>
                <w:color w:val="000000"/>
                <w:sz w:val="20"/>
              </w:rPr>
              <w:t xml:space="preserve">Exhibit 10.36 of NAI's Current Report on Form 8-K dated October 12, 2022, filed with the commission on October 13, 2022 </w:t>
            </w:r>
          </w:p>
          <w:p>
            <w:pPr>
              <w:pStyle w:val="TableContents"/>
              <w:bidi w:val="0"/>
              <w:spacing w:before="0" w:after="0"/>
              <w:ind w:left="0" w:right="0" w:hanging="0"/>
              <w:jc w:val="left"/>
              <w:rPr/>
            </w:pPr>
            <w:r>
              <w:rPr/>
              <w:t> </w:t>
            </w:r>
          </w:p>
        </w:tc>
      </w:tr>
      <w:tr>
        <w:trPr/>
        <w:tc>
          <w:tcPr>
            <w:tcW w:w="497" w:type="dxa"/>
            <w:tcBorders/>
          </w:tcPr>
          <w:p>
            <w:pPr>
              <w:pStyle w:val="TableContents"/>
              <w:bidi w:val="0"/>
              <w:spacing w:before="0" w:after="0"/>
              <w:ind w:left="0" w:right="0" w:hanging="0"/>
              <w:jc w:val="left"/>
              <w:rPr/>
            </w:pPr>
            <w:r>
              <w:rPr/>
              <w:t> </w:t>
            </w:r>
          </w:p>
          <w:p>
            <w:pPr>
              <w:pStyle w:val="TableContents"/>
              <w:bidi w:val="0"/>
              <w:jc w:val="left"/>
              <w:rPr>
                <w:rFonts w:ascii="Times New Roman;serif" w:hAnsi="Times New Roman;serif"/>
                <w:color w:val="000000"/>
                <w:sz w:val="20"/>
              </w:rPr>
            </w:pPr>
            <w:r>
              <w:rPr>
                <w:rFonts w:ascii="Times New Roman;serif" w:hAnsi="Times New Roman;serif"/>
                <w:color w:val="000000"/>
                <w:sz w:val="20"/>
              </w:rPr>
              <w:t xml:space="preserve">10.35 </w:t>
            </w:r>
          </w:p>
          <w:p>
            <w:pPr>
              <w:pStyle w:val="TableContents"/>
              <w:bidi w:val="0"/>
              <w:spacing w:before="0" w:after="0"/>
              <w:ind w:left="0" w:right="0" w:hanging="0"/>
              <w:jc w:val="left"/>
              <w:rPr/>
            </w:pPr>
            <w:r>
              <w:rPr/>
              <w:t> </w:t>
            </w:r>
          </w:p>
        </w:tc>
        <w:tc>
          <w:tcPr>
            <w:tcW w:w="76" w:type="dxa"/>
            <w:tcBorders/>
          </w:tcPr>
          <w:p>
            <w:pPr>
              <w:pStyle w:val="TableContents"/>
              <w:bidi w:val="0"/>
              <w:spacing w:before="0" w:after="0"/>
              <w:ind w:left="0" w:right="0" w:hanging="0"/>
              <w:jc w:val="left"/>
              <w:rPr/>
            </w:pPr>
            <w:r>
              <w:rPr/>
              <w:t> </w:t>
            </w:r>
          </w:p>
          <w:p>
            <w:pPr>
              <w:pStyle w:val="TableContents"/>
              <w:bidi w:val="0"/>
              <w:jc w:val="left"/>
              <w:rPr/>
            </w:pPr>
            <w:r>
              <w:rPr/>
              <w:t xml:space="preserve">  </w:t>
            </w:r>
          </w:p>
          <w:p>
            <w:pPr>
              <w:pStyle w:val="TableContents"/>
              <w:bidi w:val="0"/>
              <w:spacing w:before="0" w:after="0"/>
              <w:ind w:left="0" w:right="0" w:hanging="0"/>
              <w:jc w:val="left"/>
              <w:rPr/>
            </w:pPr>
            <w:r>
              <w:rPr/>
              <w:t> </w:t>
            </w:r>
          </w:p>
        </w:tc>
        <w:tc>
          <w:tcPr>
            <w:tcW w:w="5309" w:type="dxa"/>
            <w:tcBorders/>
          </w:tcPr>
          <w:p>
            <w:pPr>
              <w:pStyle w:val="TableContents"/>
              <w:bidi w:val="0"/>
              <w:spacing w:before="0" w:after="0"/>
              <w:ind w:left="0" w:right="0" w:hanging="0"/>
              <w:jc w:val="left"/>
              <w:rPr/>
            </w:pPr>
            <w:r>
              <w:rPr/>
              <w:t> </w:t>
            </w:r>
          </w:p>
          <w:p>
            <w:pPr>
              <w:pStyle w:val="TableContents"/>
              <w:bidi w:val="0"/>
              <w:jc w:val="left"/>
              <w:rPr/>
            </w:pPr>
            <w:hyperlink r:id="rId39">
              <w:r>
                <w:rPr>
                  <w:rStyle w:val="InternetLink"/>
                  <w:rFonts w:ascii="Times New Roman;serif" w:hAnsi="Times New Roman;serif"/>
                  <w:sz w:val="20"/>
                </w:rPr>
                <w:t>Fourth</w:t>
              </w:r>
            </w:hyperlink>
            <w:r>
              <w:rPr>
                <w:rFonts w:ascii="Times New Roman;serif" w:hAnsi="Times New Roman;serif"/>
                <w:sz w:val="20"/>
              </w:rPr>
              <w:t xml:space="preserve"> </w:t>
            </w:r>
            <w:hyperlink r:id="rId40">
              <w:r>
                <w:rPr>
                  <w:rStyle w:val="InternetLink"/>
                  <w:rFonts w:ascii="Times New Roman;serif" w:hAnsi="Times New Roman;serif"/>
                  <w:sz w:val="20"/>
                </w:rPr>
                <w:t> Amendment to Lease of NAI manufacturing facilities in Vista, California between NAI, the tenant, and Park Center Industrial ILP, LLC, a Delaware limited liability company, the landlord</w:t>
              </w:r>
            </w:hyperlink>
            <w:r>
              <w:rPr>
                <w:rFonts w:ascii="Times New Roman;serif" w:hAnsi="Times New Roman;serif"/>
                <w:sz w:val="20"/>
              </w:rPr>
              <w:t xml:space="preserve"> </w:t>
            </w:r>
          </w:p>
          <w:p>
            <w:pPr>
              <w:pStyle w:val="TableContents"/>
              <w:bidi w:val="0"/>
              <w:spacing w:before="0" w:after="0"/>
              <w:ind w:left="0" w:right="0" w:hanging="0"/>
              <w:jc w:val="left"/>
              <w:rPr/>
            </w:pPr>
            <w:r>
              <w:rPr/>
              <w:t> </w:t>
            </w:r>
          </w:p>
        </w:tc>
        <w:tc>
          <w:tcPr>
            <w:tcW w:w="76" w:type="dxa"/>
            <w:tcBorders/>
          </w:tcPr>
          <w:p>
            <w:pPr>
              <w:pStyle w:val="TableContents"/>
              <w:bidi w:val="0"/>
              <w:spacing w:before="0" w:after="0"/>
              <w:ind w:left="0" w:right="0" w:hanging="0"/>
              <w:jc w:val="left"/>
              <w:rPr/>
            </w:pPr>
            <w:r>
              <w:rPr/>
              <w:t> </w:t>
            </w:r>
          </w:p>
          <w:p>
            <w:pPr>
              <w:pStyle w:val="TableContents"/>
              <w:bidi w:val="0"/>
              <w:jc w:val="left"/>
              <w:rPr/>
            </w:pPr>
            <w:r>
              <w:rPr/>
              <w:t xml:space="preserve">  </w:t>
            </w:r>
          </w:p>
          <w:p>
            <w:pPr>
              <w:pStyle w:val="TableContents"/>
              <w:bidi w:val="0"/>
              <w:spacing w:before="0" w:after="0"/>
              <w:ind w:left="0" w:right="0" w:hanging="0"/>
              <w:jc w:val="left"/>
              <w:rPr/>
            </w:pPr>
            <w:r>
              <w:rPr/>
              <w:t> </w:t>
            </w:r>
          </w:p>
        </w:tc>
        <w:tc>
          <w:tcPr>
            <w:tcW w:w="4247" w:type="dxa"/>
            <w:tcBorders/>
          </w:tcPr>
          <w:p>
            <w:pPr>
              <w:pStyle w:val="TableContents"/>
              <w:bidi w:val="0"/>
              <w:spacing w:before="0" w:after="0"/>
              <w:ind w:left="0" w:right="0" w:hanging="0"/>
              <w:jc w:val="left"/>
              <w:rPr/>
            </w:pPr>
            <w:r>
              <w:rPr/>
              <w:t> </w:t>
            </w:r>
          </w:p>
          <w:p>
            <w:pPr>
              <w:pStyle w:val="TableContents"/>
              <w:bidi w:val="0"/>
              <w:jc w:val="left"/>
              <w:rPr>
                <w:rFonts w:ascii="Times New Roman;serif" w:hAnsi="Times New Roman;serif"/>
                <w:color w:val="000000"/>
                <w:sz w:val="20"/>
              </w:rPr>
            </w:pPr>
            <w:r>
              <w:rPr>
                <w:rFonts w:ascii="Times New Roman;serif" w:hAnsi="Times New Roman;serif"/>
                <w:color w:val="000000"/>
                <w:sz w:val="20"/>
              </w:rPr>
              <w:t xml:space="preserve">Exhibit 10.17 of NAI's Current Report on Form 8-K dated July 21, 2023, filed with the commission on July 24, 2023 </w:t>
            </w:r>
          </w:p>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485"/>
        <w:gridCol w:w="60"/>
        <w:gridCol w:w="4114"/>
        <w:gridCol w:w="60"/>
        <w:gridCol w:w="5486"/>
      </w:tblGrid>
      <w:tr>
        <w:trPr/>
        <w:tc>
          <w:tcPr>
            <w:tcW w:w="485" w:type="dxa"/>
            <w:tcBorders/>
            <w:vAlign w:val="center"/>
          </w:tcPr>
          <w:p>
            <w:pPr>
              <w:pStyle w:val="TableContents"/>
              <w:bidi w:val="0"/>
              <w:spacing w:before="0" w:after="283"/>
              <w:jc w:val="left"/>
              <w:rPr>
                <w:sz w:val="20"/>
              </w:rPr>
            </w:pPr>
            <w:r>
              <w:rPr>
                <w:sz w:val="20"/>
              </w:rPr>
              <w:t>10.36</w:t>
            </w:r>
          </w:p>
        </w:tc>
        <w:tc>
          <w:tcPr>
            <w:tcW w:w="60" w:type="dxa"/>
            <w:tcBorders/>
            <w:vAlign w:val="center"/>
          </w:tcPr>
          <w:p>
            <w:pPr>
              <w:pStyle w:val="TableContents"/>
              <w:bidi w:val="0"/>
              <w:spacing w:before="0" w:after="283"/>
              <w:jc w:val="left"/>
              <w:rPr/>
            </w:pPr>
            <w:r>
              <w:rPr/>
              <w:t> </w:t>
            </w:r>
          </w:p>
        </w:tc>
        <w:tc>
          <w:tcPr>
            <w:tcW w:w="4114" w:type="dxa"/>
            <w:tcBorders/>
            <w:vAlign w:val="center"/>
          </w:tcPr>
          <w:p>
            <w:pPr>
              <w:pStyle w:val="TableContents"/>
              <w:bidi w:val="0"/>
              <w:spacing w:before="0" w:after="283"/>
              <w:jc w:val="left"/>
              <w:rPr/>
            </w:pPr>
            <w:hyperlink r:id="rId41">
              <w:r>
                <w:rPr>
                  <w:rStyle w:val="InternetLink"/>
                  <w:sz w:val="20"/>
                </w:rPr>
                <w:t>Clawback Policy</w:t>
              </w:r>
            </w:hyperlink>
          </w:p>
        </w:tc>
        <w:tc>
          <w:tcPr>
            <w:tcW w:w="60" w:type="dxa"/>
            <w:tcBorders/>
            <w:vAlign w:val="center"/>
          </w:tcPr>
          <w:p>
            <w:pPr>
              <w:pStyle w:val="TableContents"/>
              <w:bidi w:val="0"/>
              <w:spacing w:before="0" w:after="283"/>
              <w:jc w:val="left"/>
              <w:rPr/>
            </w:pPr>
            <w:r>
              <w:rPr/>
              <w:t> </w:t>
            </w:r>
          </w:p>
        </w:tc>
        <w:tc>
          <w:tcPr>
            <w:tcW w:w="5486" w:type="dxa"/>
            <w:tcBorders/>
            <w:vAlign w:val="center"/>
          </w:tcPr>
          <w:p>
            <w:pPr>
              <w:pStyle w:val="TableContents"/>
              <w:bidi w:val="0"/>
              <w:spacing w:before="0" w:after="283"/>
              <w:jc w:val="left"/>
              <w:rPr>
                <w:sz w:val="20"/>
              </w:rPr>
            </w:pPr>
            <w:r>
              <w:rPr>
                <w:sz w:val="20"/>
              </w:rPr>
              <w:t>Exhibit 10.36 of NAI's Annual Report on Form 10-K for the fiscal year ended June 30, 2023, filed with the commission on September 19, 2023</w:t>
            </w:r>
          </w:p>
        </w:tc>
      </w:tr>
      <w:tr>
        <w:trPr/>
        <w:tc>
          <w:tcPr>
            <w:tcW w:w="485" w:type="dxa"/>
            <w:tcBorders/>
            <w:vAlign w:val="center"/>
          </w:tcPr>
          <w:p>
            <w:pPr>
              <w:pStyle w:val="TableContents"/>
              <w:bidi w:val="0"/>
              <w:spacing w:before="0" w:after="283"/>
              <w:jc w:val="left"/>
              <w:rPr>
                <w:sz w:val="20"/>
              </w:rPr>
            </w:pPr>
            <w:r>
              <w:rPr>
                <w:sz w:val="20"/>
              </w:rPr>
              <w:t>10.37</w:t>
            </w:r>
          </w:p>
        </w:tc>
        <w:tc>
          <w:tcPr>
            <w:tcW w:w="60" w:type="dxa"/>
            <w:tcBorders/>
            <w:vAlign w:val="center"/>
          </w:tcPr>
          <w:p>
            <w:pPr>
              <w:pStyle w:val="TableContents"/>
              <w:bidi w:val="0"/>
              <w:spacing w:before="0" w:after="283"/>
              <w:jc w:val="left"/>
              <w:rPr/>
            </w:pPr>
            <w:r>
              <w:rPr/>
              <w:t> </w:t>
            </w:r>
          </w:p>
        </w:tc>
        <w:tc>
          <w:tcPr>
            <w:tcW w:w="4114" w:type="dxa"/>
            <w:tcBorders/>
            <w:vAlign w:val="center"/>
          </w:tcPr>
          <w:p>
            <w:pPr>
              <w:pStyle w:val="TableContents"/>
              <w:bidi w:val="0"/>
              <w:spacing w:before="0" w:after="283"/>
              <w:jc w:val="left"/>
              <w:rPr/>
            </w:pPr>
            <w:hyperlink r:id="rId42">
              <w:r>
                <w:rPr>
                  <w:rStyle w:val="InternetLink"/>
                  <w:sz w:val="20"/>
                </w:rPr>
                <w:t>First modification to Promissory Note by and between NAI and Wells Fargo, effective as of February 13, 2024</w:t>
              </w:r>
            </w:hyperlink>
          </w:p>
        </w:tc>
        <w:tc>
          <w:tcPr>
            <w:tcW w:w="60" w:type="dxa"/>
            <w:tcBorders/>
            <w:vAlign w:val="center"/>
          </w:tcPr>
          <w:p>
            <w:pPr>
              <w:pStyle w:val="TableContents"/>
              <w:bidi w:val="0"/>
              <w:spacing w:before="0" w:after="283"/>
              <w:jc w:val="left"/>
              <w:rPr/>
            </w:pPr>
            <w:r>
              <w:rPr/>
              <w:t> </w:t>
            </w:r>
          </w:p>
        </w:tc>
        <w:tc>
          <w:tcPr>
            <w:tcW w:w="54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10.37 of NAI’s Quarterly Report on Form 10-Q for the quarterly period ended December 31, 2023, filed with the commission on February 13, 2024</w:t>
            </w:r>
          </w:p>
        </w:tc>
      </w:tr>
    </w:tbl>
    <w:tbl>
      <w:tblPr>
        <w:tblW w:w="10205" w:type="dxa"/>
        <w:jc w:val="left"/>
        <w:tblInd w:w="0" w:type="dxa"/>
        <w:tblLayout w:type="fixed"/>
        <w:tblCellMar>
          <w:top w:w="0" w:type="dxa"/>
          <w:left w:w="0" w:type="dxa"/>
          <w:bottom w:w="0" w:type="dxa"/>
          <w:right w:w="0" w:type="dxa"/>
        </w:tblCellMar>
      </w:tblPr>
      <w:tblGrid>
        <w:gridCol w:w="485"/>
        <w:gridCol w:w="60"/>
        <w:gridCol w:w="4666"/>
        <w:gridCol w:w="60"/>
        <w:gridCol w:w="4934"/>
      </w:tblGrid>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10.38</w:t>
            </w:r>
          </w:p>
        </w:tc>
        <w:tc>
          <w:tcPr>
            <w:tcW w:w="60" w:type="dxa"/>
            <w:tcBorders/>
            <w:vAlign w:val="center"/>
          </w:tcPr>
          <w:p>
            <w:pPr>
              <w:pStyle w:val="TableContents"/>
              <w:bidi w:val="0"/>
              <w:spacing w:before="0" w:after="283"/>
              <w:jc w:val="left"/>
              <w:rPr/>
            </w:pPr>
            <w:r>
              <w:rPr/>
              <w:t> </w:t>
            </w:r>
          </w:p>
        </w:tc>
        <w:tc>
          <w:tcPr>
            <w:tcW w:w="4666" w:type="dxa"/>
            <w:tcBorders/>
            <w:vAlign w:val="center"/>
          </w:tcPr>
          <w:p>
            <w:pPr>
              <w:pStyle w:val="TableContents"/>
              <w:bidi w:val="0"/>
              <w:spacing w:before="0" w:after="283"/>
              <w:jc w:val="left"/>
              <w:rPr/>
            </w:pPr>
            <w:hyperlink r:id="rId43">
              <w:r>
                <w:rPr>
                  <w:rStyle w:val="InternetLink"/>
                  <w:rFonts w:ascii="Times New Roman;Times;serif" w:hAnsi="Times New Roman;Times;serif"/>
                  <w:sz w:val="20"/>
                </w:rPr>
                <w:t>Fourth Amendment and Waiver of Events of Default to Credit Agreement by and between NAI and Wells Fargo effective as of February 13, 2024</w:t>
              </w:r>
            </w:hyperlink>
          </w:p>
        </w:tc>
        <w:tc>
          <w:tcPr>
            <w:tcW w:w="60" w:type="dxa"/>
            <w:tcBorders/>
            <w:vAlign w:val="center"/>
          </w:tcPr>
          <w:p>
            <w:pPr>
              <w:pStyle w:val="TableContents"/>
              <w:bidi w:val="0"/>
              <w:spacing w:before="0" w:after="283"/>
              <w:jc w:val="left"/>
              <w:rPr/>
            </w:pPr>
            <w:r>
              <w:rPr/>
              <w:t> </w:t>
            </w:r>
          </w:p>
        </w:tc>
        <w:tc>
          <w:tcPr>
            <w:tcW w:w="4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10.38 of NAI’s Quarterly Report on Form 10-Q for the quarterly period ended December 31, 2023, filed with the commission on February 13, 2024</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60"/>
        <w:gridCol w:w="4839"/>
        <w:gridCol w:w="60"/>
        <w:gridCol w:w="4761"/>
      </w:tblGrid>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10.39</w:t>
            </w:r>
          </w:p>
        </w:tc>
        <w:tc>
          <w:tcPr>
            <w:tcW w:w="60" w:type="dxa"/>
            <w:tcBorders/>
            <w:vAlign w:val="center"/>
          </w:tcPr>
          <w:p>
            <w:pPr>
              <w:pStyle w:val="TableContents"/>
              <w:bidi w:val="0"/>
              <w:spacing w:before="0" w:after="283"/>
              <w:jc w:val="left"/>
              <w:rPr/>
            </w:pPr>
            <w:r>
              <w:rPr/>
              <w:t> </w:t>
            </w:r>
          </w:p>
        </w:tc>
        <w:tc>
          <w:tcPr>
            <w:tcW w:w="4839"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u w:val="single"/>
                </w:rPr>
                <w:t>Fifth Amendment to Credit Agreement by and between NAI and Wells Fargo effective May 14, 2025</w:t>
              </w:r>
            </w:hyperlink>
          </w:p>
        </w:tc>
        <w:tc>
          <w:tcPr>
            <w:tcW w:w="60"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10.39 of NAI’s Quarterly Report on Form 10-Q for the quarterly period ended March 31, 2025, filed with the commission on May 14, 2025</w:t>
            </w:r>
          </w:p>
        </w:tc>
      </w:tr>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10.40</w:t>
            </w:r>
          </w:p>
        </w:tc>
        <w:tc>
          <w:tcPr>
            <w:tcW w:w="60" w:type="dxa"/>
            <w:tcBorders/>
            <w:vAlign w:val="center"/>
          </w:tcPr>
          <w:p>
            <w:pPr>
              <w:pStyle w:val="TableContents"/>
              <w:bidi w:val="0"/>
              <w:spacing w:before="0" w:after="283"/>
              <w:jc w:val="left"/>
              <w:rPr/>
            </w:pPr>
            <w:r>
              <w:rPr/>
              <w:t> </w:t>
            </w:r>
          </w:p>
        </w:tc>
        <w:tc>
          <w:tcPr>
            <w:tcW w:w="4839" w:type="dxa"/>
            <w:tcBorders/>
            <w:vAlign w:val="center"/>
          </w:tcPr>
          <w:p>
            <w:pPr>
              <w:pStyle w:val="TableContents"/>
              <w:bidi w:val="0"/>
              <w:spacing w:before="0" w:after="283"/>
              <w:jc w:val="left"/>
              <w:rPr/>
            </w:pPr>
            <w:hyperlink r:id="rId45">
              <w:r>
                <w:rPr>
                  <w:rStyle w:val="InternetLink"/>
                  <w:rFonts w:ascii="Times New Roman;Times;serif" w:hAnsi="Times New Roman;Times;serif"/>
                  <w:sz w:val="20"/>
                  <w:u w:val="single"/>
                </w:rPr>
                <w:t>Sixth Amendment to Credit Agreement by and between NAI and Wells Fargo effective as of June 20, 2025</w:t>
              </w:r>
            </w:hyperlink>
          </w:p>
        </w:tc>
        <w:tc>
          <w:tcPr>
            <w:tcW w:w="60"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10.40 of NAI's Current Report on Form 8-K dated June 23, 2025, filed with the commission on June 23, 2025</w:t>
            </w:r>
          </w:p>
        </w:tc>
      </w:tr>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10.41</w:t>
            </w:r>
          </w:p>
        </w:tc>
        <w:tc>
          <w:tcPr>
            <w:tcW w:w="60" w:type="dxa"/>
            <w:tcBorders/>
            <w:vAlign w:val="center"/>
          </w:tcPr>
          <w:p>
            <w:pPr>
              <w:pStyle w:val="TableContents"/>
              <w:bidi w:val="0"/>
              <w:spacing w:before="0" w:after="283"/>
              <w:jc w:val="left"/>
              <w:rPr/>
            </w:pPr>
            <w:r>
              <w:rPr/>
              <w:t> </w:t>
            </w:r>
          </w:p>
        </w:tc>
        <w:tc>
          <w:tcPr>
            <w:tcW w:w="4839" w:type="dxa"/>
            <w:tcBorders/>
            <w:vAlign w:val="center"/>
          </w:tcPr>
          <w:p>
            <w:pPr>
              <w:pStyle w:val="TableContents"/>
              <w:bidi w:val="0"/>
              <w:spacing w:before="0" w:after="283"/>
              <w:jc w:val="left"/>
              <w:rPr/>
            </w:pPr>
            <w:hyperlink r:id="rId46">
              <w:r>
                <w:rPr>
                  <w:rStyle w:val="InternetLink"/>
                  <w:rFonts w:ascii="Times New Roman;Times;serif" w:hAnsi="Times New Roman;Times;serif"/>
                  <w:sz w:val="20"/>
                  <w:u w:val="single"/>
                </w:rPr>
                <w:t>Second Amendment to Revolving Line of Credit Note made by NAI for the benefit of Wells Fargo dated June 20, 2025</w:t>
              </w:r>
            </w:hyperlink>
          </w:p>
        </w:tc>
        <w:tc>
          <w:tcPr>
            <w:tcW w:w="60"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10.41 of NAI's Current Report on Form 8-K dated June 23, 2025, filed with the commission on June 23, 2025</w:t>
            </w:r>
          </w:p>
        </w:tc>
      </w:tr>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10.42</w:t>
            </w:r>
          </w:p>
        </w:tc>
        <w:tc>
          <w:tcPr>
            <w:tcW w:w="60" w:type="dxa"/>
            <w:tcBorders/>
            <w:vAlign w:val="center"/>
          </w:tcPr>
          <w:p>
            <w:pPr>
              <w:pStyle w:val="TableContents"/>
              <w:bidi w:val="0"/>
              <w:spacing w:before="0" w:after="283"/>
              <w:jc w:val="left"/>
              <w:rPr/>
            </w:pPr>
            <w:r>
              <w:rPr/>
              <w:t> </w:t>
            </w:r>
          </w:p>
        </w:tc>
        <w:tc>
          <w:tcPr>
            <w:tcW w:w="4839" w:type="dxa"/>
            <w:tcBorders/>
            <w:vAlign w:val="center"/>
          </w:tcPr>
          <w:p>
            <w:pPr>
              <w:pStyle w:val="TableContents"/>
              <w:bidi w:val="0"/>
              <w:spacing w:before="0" w:after="283"/>
              <w:jc w:val="left"/>
              <w:rPr/>
            </w:pPr>
            <w:hyperlink r:id="rId47">
              <w:r>
                <w:rPr>
                  <w:rStyle w:val="InternetLink"/>
                  <w:rFonts w:ascii="Times New Roman;Times;serif" w:hAnsi="Times New Roman;Times;serif"/>
                  <w:sz w:val="20"/>
                  <w:u w:val="single"/>
                </w:rPr>
                <w:t>First Modification of Deed of Trust and Assignment of Rents and Leases dated June 20, 2025</w:t>
              </w:r>
            </w:hyperlink>
          </w:p>
        </w:tc>
        <w:tc>
          <w:tcPr>
            <w:tcW w:w="60"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10.42 of NAI's Current Report on Form 8-K dated June 23, 2025, filed with the commission on June 23, 2025</w:t>
            </w:r>
          </w:p>
        </w:tc>
      </w:tr>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10.43</w:t>
            </w:r>
          </w:p>
        </w:tc>
        <w:tc>
          <w:tcPr>
            <w:tcW w:w="60" w:type="dxa"/>
            <w:tcBorders/>
            <w:vAlign w:val="center"/>
          </w:tcPr>
          <w:p>
            <w:pPr>
              <w:pStyle w:val="TableContents"/>
              <w:bidi w:val="0"/>
              <w:spacing w:before="0" w:after="283"/>
              <w:jc w:val="left"/>
              <w:rPr/>
            </w:pPr>
            <w:r>
              <w:rPr/>
              <w:t> </w:t>
            </w:r>
          </w:p>
        </w:tc>
        <w:tc>
          <w:tcPr>
            <w:tcW w:w="4839" w:type="dxa"/>
            <w:tcBorders/>
            <w:vAlign w:val="center"/>
          </w:tcPr>
          <w:p>
            <w:pPr>
              <w:pStyle w:val="TableContents"/>
              <w:bidi w:val="0"/>
              <w:spacing w:before="0" w:after="283"/>
              <w:jc w:val="left"/>
              <w:rPr/>
            </w:pPr>
            <w:hyperlink r:id="rId48">
              <w:r>
                <w:rPr>
                  <w:rStyle w:val="InternetLink"/>
                  <w:rFonts w:ascii="Times New Roman;Times;serif" w:hAnsi="Times New Roman;Times;serif"/>
                  <w:sz w:val="20"/>
                  <w:u w:val="single"/>
                </w:rPr>
                <w:t>Fifth Amendment to Employment Agreement by and between NAI and Michael E. Fortin effective July 1, 2025</w:t>
              </w:r>
            </w:hyperlink>
            <w:hyperlink r:id="rId49">
              <w:r>
                <w:rPr>
                  <w:rStyle w:val="InternetLink"/>
                  <w:rFonts w:ascii="Times New Roman;Times;serif" w:hAnsi="Times New Roman;Times;serif"/>
                  <w:sz w:val="20"/>
                </w:rPr>
                <w:t>*</w:t>
              </w:r>
            </w:hyperlink>
          </w:p>
        </w:tc>
        <w:tc>
          <w:tcPr>
            <w:tcW w:w="60"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10.68 of NAI's Current Report on Form 8-K dated July 1, 2025, filed with the commission on July 1, 2025</w:t>
            </w:r>
          </w:p>
        </w:tc>
      </w:tr>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10.44</w:t>
            </w:r>
          </w:p>
        </w:tc>
        <w:tc>
          <w:tcPr>
            <w:tcW w:w="60" w:type="dxa"/>
            <w:tcBorders/>
            <w:vAlign w:val="center"/>
          </w:tcPr>
          <w:p>
            <w:pPr>
              <w:pStyle w:val="TableContents"/>
              <w:bidi w:val="0"/>
              <w:spacing w:before="0" w:after="283"/>
              <w:jc w:val="left"/>
              <w:rPr/>
            </w:pPr>
            <w:r>
              <w:rPr/>
              <w:t> </w:t>
            </w:r>
          </w:p>
        </w:tc>
        <w:tc>
          <w:tcPr>
            <w:tcW w:w="4839" w:type="dxa"/>
            <w:tcBorders/>
            <w:vAlign w:val="center"/>
          </w:tcPr>
          <w:p>
            <w:pPr>
              <w:pStyle w:val="TableContents"/>
              <w:bidi w:val="0"/>
              <w:spacing w:before="0" w:after="283"/>
              <w:jc w:val="left"/>
              <w:rPr/>
            </w:pPr>
            <w:hyperlink r:id="rId50">
              <w:r>
                <w:rPr>
                  <w:rStyle w:val="InternetLink"/>
                  <w:rFonts w:ascii="Times New Roman;Times;serif" w:hAnsi="Times New Roman;Times;serif"/>
                  <w:sz w:val="20"/>
                  <w:u w:val="single"/>
                </w:rPr>
                <w:t>Manufacturing Agreement by and between Natural Alternatives International, Inc., and The Juice Plus+ Company, dated effective July 16, 2025</w:t>
              </w:r>
            </w:hyperlink>
          </w:p>
        </w:tc>
        <w:tc>
          <w:tcPr>
            <w:tcW w:w="60"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10.49 of NAI's Current Report on Form 8-K dated July 21, 2025, filed with the commission on July 21, 2025</w:t>
            </w:r>
          </w:p>
        </w:tc>
      </w:tr>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10.45</w:t>
            </w:r>
          </w:p>
        </w:tc>
        <w:tc>
          <w:tcPr>
            <w:tcW w:w="60" w:type="dxa"/>
            <w:tcBorders/>
            <w:vAlign w:val="center"/>
          </w:tcPr>
          <w:p>
            <w:pPr>
              <w:pStyle w:val="TableContents"/>
              <w:bidi w:val="0"/>
              <w:spacing w:before="0" w:after="283"/>
              <w:jc w:val="left"/>
              <w:rPr/>
            </w:pPr>
            <w:r>
              <w:rPr/>
              <w:t> </w:t>
            </w:r>
          </w:p>
        </w:tc>
        <w:tc>
          <w:tcPr>
            <w:tcW w:w="4839" w:type="dxa"/>
            <w:tcBorders/>
            <w:vAlign w:val="center"/>
          </w:tcPr>
          <w:p>
            <w:pPr>
              <w:pStyle w:val="TableContents"/>
              <w:bidi w:val="0"/>
              <w:spacing w:before="0" w:after="283"/>
              <w:jc w:val="left"/>
              <w:rPr/>
            </w:pPr>
            <w:hyperlink r:id="rId51">
              <w:r>
                <w:rPr>
                  <w:rStyle w:val="InternetLink"/>
                  <w:rFonts w:ascii="Times New Roman;Times;serif" w:hAnsi="Times New Roman;Times;serif"/>
                  <w:sz w:val="20"/>
                </w:rPr>
                <w:t>Waiver and Release Agreement by and between NAI and Wells Fargo effective as of December 12, 2025</w:t>
              </w:r>
            </w:hyperlink>
          </w:p>
        </w:tc>
        <w:tc>
          <w:tcPr>
            <w:tcW w:w="60"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10.43 of NAI's Current Report on Form 8-K dated December 17, 2025, filed with the commission on December 17, 2025</w:t>
            </w:r>
          </w:p>
        </w:tc>
      </w:tr>
    </w:tbl>
    <w:tbl>
      <w:tblPr>
        <w:tblW w:w="10205" w:type="dxa"/>
        <w:jc w:val="left"/>
        <w:tblInd w:w="0" w:type="dxa"/>
        <w:tblLayout w:type="fixed"/>
        <w:tblCellMar>
          <w:top w:w="0" w:type="dxa"/>
          <w:left w:w="0" w:type="dxa"/>
          <w:bottom w:w="0" w:type="dxa"/>
          <w:right w:w="0" w:type="dxa"/>
        </w:tblCellMar>
      </w:tblPr>
      <w:tblGrid>
        <w:gridCol w:w="485"/>
        <w:gridCol w:w="60"/>
        <w:gridCol w:w="4689"/>
        <w:gridCol w:w="60"/>
        <w:gridCol w:w="4911"/>
      </w:tblGrid>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10.46</w:t>
            </w:r>
          </w:p>
        </w:tc>
        <w:tc>
          <w:tcPr>
            <w:tcW w:w="60" w:type="dxa"/>
            <w:tcBorders/>
            <w:vAlign w:val="center"/>
          </w:tcPr>
          <w:p>
            <w:pPr>
              <w:pStyle w:val="TableContents"/>
              <w:bidi w:val="0"/>
              <w:spacing w:before="0" w:after="283"/>
              <w:jc w:val="left"/>
              <w:rPr/>
            </w:pPr>
            <w:r>
              <w:rPr/>
              <w:t> </w:t>
            </w:r>
          </w:p>
        </w:tc>
        <w:tc>
          <w:tcPr>
            <w:tcW w:w="4689" w:type="dxa"/>
            <w:tcBorders/>
            <w:vAlign w:val="center"/>
          </w:tcPr>
          <w:p>
            <w:pPr>
              <w:pStyle w:val="TableContents"/>
              <w:bidi w:val="0"/>
              <w:spacing w:before="0" w:after="283"/>
              <w:jc w:val="left"/>
              <w:rPr/>
            </w:pPr>
            <w:hyperlink r:id="rId52">
              <w:r>
                <w:rPr>
                  <w:rStyle w:val="InternetLink"/>
                  <w:rFonts w:ascii="Times New Roman;Times;serif" w:hAnsi="Times New Roman;Times;serif"/>
                  <w:sz w:val="20"/>
                </w:rPr>
                <w:t>Third Amendment to Employment Agreement by and between NAI and Mark A. LeDoux effective May 1, 2026*</w:t>
              </w:r>
            </w:hyperlink>
          </w:p>
        </w:tc>
        <w:tc>
          <w:tcPr>
            <w:tcW w:w="60" w:type="dxa"/>
            <w:tcBorders/>
            <w:vAlign w:val="center"/>
          </w:tcPr>
          <w:p>
            <w:pPr>
              <w:pStyle w:val="TableContents"/>
              <w:bidi w:val="0"/>
              <w:spacing w:before="0" w:after="283"/>
              <w:jc w:val="left"/>
              <w:rPr/>
            </w:pPr>
            <w:r>
              <w:rPr/>
              <w:t> </w:t>
            </w:r>
          </w:p>
        </w:tc>
        <w:tc>
          <w:tcPr>
            <w:tcW w:w="4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10.69 of NAI's Current Report on Form 8-K dated March 20, 2026, filed with the commission on March 20, 2026</w:t>
            </w:r>
          </w:p>
        </w:tc>
      </w:tr>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10.47</w:t>
            </w:r>
          </w:p>
        </w:tc>
        <w:tc>
          <w:tcPr>
            <w:tcW w:w="60" w:type="dxa"/>
            <w:tcBorders/>
            <w:vAlign w:val="center"/>
          </w:tcPr>
          <w:p>
            <w:pPr>
              <w:pStyle w:val="TableContents"/>
              <w:bidi w:val="0"/>
              <w:spacing w:before="0" w:after="283"/>
              <w:jc w:val="left"/>
              <w:rPr/>
            </w:pPr>
            <w:r>
              <w:rPr/>
              <w:t> </w:t>
            </w:r>
          </w:p>
        </w:tc>
        <w:tc>
          <w:tcPr>
            <w:tcW w:w="4689" w:type="dxa"/>
            <w:tcBorders/>
            <w:vAlign w:val="center"/>
          </w:tcPr>
          <w:p>
            <w:pPr>
              <w:pStyle w:val="TableContents"/>
              <w:bidi w:val="0"/>
              <w:spacing w:before="0" w:after="283"/>
              <w:jc w:val="left"/>
              <w:rPr/>
            </w:pPr>
            <w:hyperlink r:id="rId53">
              <w:r>
                <w:rPr>
                  <w:rStyle w:val="InternetLink"/>
                  <w:rFonts w:ascii="Times New Roman;Times;serif" w:hAnsi="Times New Roman;Times;serif"/>
                  <w:sz w:val="20"/>
                </w:rPr>
                <w:t>Employment Agreement by and between Natural Alternatives International Europe and Mark A. LeDoux effective May 1, 2026*</w:t>
              </w:r>
            </w:hyperlink>
          </w:p>
        </w:tc>
        <w:tc>
          <w:tcPr>
            <w:tcW w:w="60" w:type="dxa"/>
            <w:tcBorders/>
            <w:vAlign w:val="center"/>
          </w:tcPr>
          <w:p>
            <w:pPr>
              <w:pStyle w:val="TableContents"/>
              <w:bidi w:val="0"/>
              <w:spacing w:before="0" w:after="283"/>
              <w:jc w:val="left"/>
              <w:rPr/>
            </w:pPr>
            <w:r>
              <w:rPr/>
              <w:t> </w:t>
            </w:r>
          </w:p>
        </w:tc>
        <w:tc>
          <w:tcPr>
            <w:tcW w:w="4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10.70 of NAI's Current Report on Form 8-K dated March 20, 2026, filed with the commission on March 20, 2026</w:t>
            </w:r>
          </w:p>
        </w:tc>
      </w:tr>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10.48</w:t>
            </w:r>
          </w:p>
        </w:tc>
        <w:tc>
          <w:tcPr>
            <w:tcW w:w="60" w:type="dxa"/>
            <w:tcBorders/>
            <w:vAlign w:val="center"/>
          </w:tcPr>
          <w:p>
            <w:pPr>
              <w:pStyle w:val="TableContents"/>
              <w:bidi w:val="0"/>
              <w:spacing w:before="0" w:after="283"/>
              <w:jc w:val="left"/>
              <w:rPr/>
            </w:pPr>
            <w:r>
              <w:rPr/>
              <w:t> </w:t>
            </w:r>
          </w:p>
        </w:tc>
        <w:tc>
          <w:tcPr>
            <w:tcW w:w="4689" w:type="dxa"/>
            <w:tcBorders/>
            <w:vAlign w:val="center"/>
          </w:tcPr>
          <w:p>
            <w:pPr>
              <w:pStyle w:val="TableContents"/>
              <w:bidi w:val="0"/>
              <w:spacing w:before="0" w:after="283"/>
              <w:jc w:val="left"/>
              <w:rPr/>
            </w:pPr>
            <w:hyperlink r:id="rId54">
              <w:r>
                <w:rPr>
                  <w:rStyle w:val="InternetLink"/>
                  <w:rFonts w:ascii="Times New Roman;Times;serif" w:hAnsi="Times New Roman;Times;serif"/>
                  <w:sz w:val="20"/>
                </w:rPr>
                <w:t>Loan and Security Agreement between Natural Alternatives International, Inc. and Legacy Corporate Lending, LLC dated May 18, 2026</w:t>
              </w:r>
            </w:hyperlink>
          </w:p>
        </w:tc>
        <w:tc>
          <w:tcPr>
            <w:tcW w:w="60" w:type="dxa"/>
            <w:tcBorders/>
            <w:vAlign w:val="center"/>
          </w:tcPr>
          <w:p>
            <w:pPr>
              <w:pStyle w:val="TableContents"/>
              <w:bidi w:val="0"/>
              <w:spacing w:before="0" w:after="283"/>
              <w:jc w:val="left"/>
              <w:rPr/>
            </w:pPr>
            <w:r>
              <w:rPr/>
              <w:t> </w:t>
            </w:r>
          </w:p>
        </w:tc>
        <w:tc>
          <w:tcPr>
            <w:tcW w:w="4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10.45 of NAI’s Quarterly Report on Form 10-Q for the quarterly period ended March 31, 2026, filed with the commission on May 19, 2026</w:t>
            </w:r>
          </w:p>
        </w:tc>
      </w:tr>
    </w:tbl>
    <w:tbl>
      <w:tblPr>
        <w:tblW w:w="8235" w:type="dxa"/>
        <w:jc w:val="left"/>
        <w:tblInd w:w="0" w:type="dxa"/>
        <w:tblLayout w:type="fixed"/>
        <w:tblCellMar>
          <w:top w:w="0" w:type="dxa"/>
          <w:left w:w="0" w:type="dxa"/>
          <w:bottom w:w="0" w:type="dxa"/>
          <w:right w:w="0" w:type="dxa"/>
        </w:tblCellMar>
      </w:tblPr>
      <w:tblGrid>
        <w:gridCol w:w="485"/>
        <w:gridCol w:w="60"/>
        <w:gridCol w:w="6440"/>
        <w:gridCol w:w="60"/>
        <w:gridCol w:w="1190"/>
      </w:tblGrid>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10.49</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283"/>
              <w:jc w:val="left"/>
              <w:rPr/>
            </w:pPr>
            <w:hyperlink w:anchor="ex_1007904.htm">
              <w:r>
                <w:rPr>
                  <w:rStyle w:val="InternetLink"/>
                  <w:rFonts w:ascii="Times New Roman;Times;serif" w:hAnsi="Times New Roman;Times;serif"/>
                  <w:sz w:val="20"/>
                </w:rPr>
                <w:t>Credit Agreement between NAIE and UBS Switzerland AG dated June 17, 2026</w:t>
              </w:r>
            </w:hyperlink>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bl>
    <w:tbl>
      <w:tblPr>
        <w:tblW w:w="8610" w:type="dxa"/>
        <w:jc w:val="left"/>
        <w:tblInd w:w="0" w:type="dxa"/>
        <w:tblLayout w:type="fixed"/>
        <w:tblCellMar>
          <w:top w:w="0" w:type="dxa"/>
          <w:left w:w="0" w:type="dxa"/>
          <w:bottom w:w="0" w:type="dxa"/>
          <w:right w:w="0" w:type="dxa"/>
        </w:tblCellMar>
      </w:tblPr>
      <w:tblGrid>
        <w:gridCol w:w="380"/>
        <w:gridCol w:w="60"/>
        <w:gridCol w:w="6920"/>
        <w:gridCol w:w="60"/>
        <w:gridCol w:w="119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ind w:left="0" w:right="0" w:hanging="0"/>
              <w:jc w:val="left"/>
              <w:rPr/>
            </w:pPr>
            <w:hyperlink w:anchor="ex_973462.htm">
              <w:r>
                <w:rPr>
                  <w:rStyle w:val="InternetLink"/>
                  <w:rFonts w:ascii="Times New Roman;Times;serif" w:hAnsi="Times New Roman;Times;serif"/>
                  <w:caps w:val="false"/>
                  <w:smallCaps w:val="false"/>
                  <w:sz w:val="20"/>
                </w:rPr>
                <w:t>Subsidiaries of the Company</w:t>
              </w:r>
            </w:hyperlink>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ind w:left="0" w:right="0" w:hanging="0"/>
              <w:jc w:val="left"/>
              <w:rPr/>
            </w:pPr>
            <w:hyperlink w:anchor="ex_973463.htm">
              <w:r>
                <w:rPr>
                  <w:rStyle w:val="InternetLink"/>
                  <w:rFonts w:ascii="Times New Roman;Times;serif" w:hAnsi="Times New Roman;Times;serif"/>
                  <w:caps w:val="false"/>
                  <w:smallCaps w:val="false"/>
                  <w:sz w:val="20"/>
                </w:rPr>
                <w:t>Consent of Independent Registered Public Accounting Firm</w:t>
              </w:r>
            </w:hyperlink>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ind w:left="0" w:right="0" w:hanging="0"/>
              <w:jc w:val="left"/>
              <w:rPr/>
            </w:pPr>
            <w:hyperlink w:anchor="ex_973464.htm">
              <w:r>
                <w:rPr>
                  <w:rStyle w:val="InternetLink"/>
                  <w:rFonts w:ascii="Times New Roman;Times;serif" w:hAnsi="Times New Roman;Times;serif"/>
                  <w:caps w:val="false"/>
                  <w:smallCaps w:val="false"/>
                  <w:sz w:val="20"/>
                </w:rPr>
                <w:t>Rule 13a-14(a)/15d-14(a) Certification of Chief Executive Officer</w:t>
              </w:r>
            </w:hyperlink>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ind w:left="0" w:right="0" w:hanging="0"/>
              <w:jc w:val="left"/>
              <w:rPr/>
            </w:pPr>
            <w:hyperlink w:anchor="ex_973465.htm">
              <w:r>
                <w:rPr>
                  <w:rStyle w:val="InternetLink"/>
                  <w:rFonts w:ascii="Times New Roman;Times;serif" w:hAnsi="Times New Roman;Times;serif"/>
                  <w:caps w:val="false"/>
                  <w:smallCaps w:val="false"/>
                  <w:sz w:val="20"/>
                </w:rPr>
                <w:t>Rule 13a-14(a)/15d-14(a) Certification of Principal Financial and Accounting Officer</w:t>
              </w:r>
            </w:hyperlink>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ind w:left="0" w:right="0" w:hanging="0"/>
              <w:jc w:val="left"/>
              <w:rPr/>
            </w:pPr>
            <w:hyperlink w:anchor="ex_973466.htm">
              <w:r>
                <w:rPr>
                  <w:rStyle w:val="InternetLink"/>
                  <w:rFonts w:ascii="Times New Roman;Times;serif" w:hAnsi="Times New Roman;Times;serif"/>
                  <w:caps w:val="false"/>
                  <w:smallCaps w:val="false"/>
                  <w:sz w:val="20"/>
                </w:rPr>
                <w:t>Section 1350 Certification</w:t>
              </w:r>
            </w:hyperlink>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bl>
    <w:tbl>
      <w:tblPr>
        <w:tblW w:w="10205" w:type="dxa"/>
        <w:jc w:val="left"/>
        <w:tblInd w:w="0" w:type="dxa"/>
        <w:tblLayout w:type="fixed"/>
        <w:tblCellMar>
          <w:top w:w="0" w:type="dxa"/>
          <w:left w:w="0" w:type="dxa"/>
          <w:bottom w:w="0" w:type="dxa"/>
          <w:right w:w="0" w:type="dxa"/>
        </w:tblCellMar>
      </w:tblPr>
      <w:tblGrid>
        <w:gridCol w:w="608"/>
        <w:gridCol w:w="60"/>
        <w:gridCol w:w="8232"/>
        <w:gridCol w:w="60"/>
        <w:gridCol w:w="1245"/>
      </w:tblGrid>
      <w:tr>
        <w:trPr/>
        <w:tc>
          <w:tcPr>
            <w:tcW w:w="6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0" w:type="dxa"/>
            <w:tcBorders/>
            <w:vAlign w:val="center"/>
          </w:tcPr>
          <w:p>
            <w:pPr>
              <w:pStyle w:val="TableContents"/>
              <w:bidi w:val="0"/>
              <w:spacing w:before="0" w:after="283"/>
              <w:jc w:val="left"/>
              <w:rPr/>
            </w:pPr>
            <w:r>
              <w:rPr/>
              <w:t> </w:t>
            </w:r>
          </w:p>
        </w:tc>
        <w:tc>
          <w:tcPr>
            <w:tcW w:w="8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6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vAlign w:val="center"/>
          </w:tcPr>
          <w:p>
            <w:pPr>
              <w:pStyle w:val="TableContents"/>
              <w:bidi w:val="0"/>
              <w:spacing w:before="0" w:after="283"/>
              <w:jc w:val="left"/>
              <w:rPr/>
            </w:pPr>
            <w:r>
              <w:rPr/>
              <w:t> </w:t>
            </w:r>
          </w:p>
        </w:tc>
        <w:tc>
          <w:tcPr>
            <w:tcW w:w="8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6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0" w:type="dxa"/>
            <w:tcBorders/>
            <w:vAlign w:val="center"/>
          </w:tcPr>
          <w:p>
            <w:pPr>
              <w:pStyle w:val="TableContents"/>
              <w:bidi w:val="0"/>
              <w:spacing w:before="0" w:after="283"/>
              <w:jc w:val="left"/>
              <w:rPr/>
            </w:pPr>
            <w:r>
              <w:rPr/>
              <w:t> </w:t>
            </w:r>
          </w:p>
        </w:tc>
        <w:tc>
          <w:tcPr>
            <w:tcW w:w="8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6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0" w:type="dxa"/>
            <w:tcBorders/>
            <w:vAlign w:val="center"/>
          </w:tcPr>
          <w:p>
            <w:pPr>
              <w:pStyle w:val="TableContents"/>
              <w:bidi w:val="0"/>
              <w:spacing w:before="0" w:after="283"/>
              <w:jc w:val="left"/>
              <w:rPr/>
            </w:pPr>
            <w:r>
              <w:rPr/>
              <w:t> </w:t>
            </w:r>
          </w:p>
        </w:tc>
        <w:tc>
          <w:tcPr>
            <w:tcW w:w="8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6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0" w:type="dxa"/>
            <w:tcBorders/>
            <w:vAlign w:val="center"/>
          </w:tcPr>
          <w:p>
            <w:pPr>
              <w:pStyle w:val="TableContents"/>
              <w:bidi w:val="0"/>
              <w:spacing w:before="0" w:after="283"/>
              <w:jc w:val="left"/>
              <w:rPr/>
            </w:pPr>
            <w:r>
              <w:rPr/>
              <w:t> </w:t>
            </w:r>
          </w:p>
        </w:tc>
        <w:tc>
          <w:tcPr>
            <w:tcW w:w="8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6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0" w:type="dxa"/>
            <w:tcBorders/>
            <w:vAlign w:val="center"/>
          </w:tcPr>
          <w:p>
            <w:pPr>
              <w:pStyle w:val="TableContents"/>
              <w:bidi w:val="0"/>
              <w:spacing w:before="0" w:after="283"/>
              <w:jc w:val="left"/>
              <w:rPr/>
            </w:pPr>
            <w:r>
              <w:rPr/>
              <w:t> </w:t>
            </w:r>
          </w:p>
        </w:tc>
        <w:tc>
          <w:tcPr>
            <w:tcW w:w="8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6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8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60"/>
        <w:gridCol w:w="125"/>
        <w:gridCol w:w="564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5" w:name="sig"/>
      <w:bookmarkEnd w:id="25"/>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Natural Alternatives International, Inc.,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28, 2026</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60"/>
        <w:gridCol w:w="1052"/>
        <w:gridCol w:w="3423"/>
        <w:gridCol w:w="60"/>
      </w:tblGrid>
      <w:tr>
        <w:trPr/>
        <w:tc>
          <w:tcPr>
            <w:tcW w:w="60" w:type="dxa"/>
            <w:tcBorders/>
            <w:vAlign w:val="center"/>
          </w:tcPr>
          <w:p>
            <w:pPr>
              <w:pStyle w:val="TableContents"/>
              <w:bidi w:val="0"/>
              <w:spacing w:before="0" w:after="283"/>
              <w:jc w:val="left"/>
              <w:rPr/>
            </w:pPr>
            <w:r>
              <w:rPr/>
              <w:t> </w:t>
            </w:r>
          </w:p>
        </w:tc>
        <w:tc>
          <w:tcPr>
            <w:tcW w:w="447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left"/>
              <w:rPr/>
            </w:pPr>
            <w:r>
              <w:rPr/>
              <w:t> </w:t>
            </w:r>
          </w:p>
        </w:tc>
        <w:tc>
          <w:tcPr>
            <w:tcW w:w="3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4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A. LeDoux</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left"/>
              <w:rPr/>
            </w:pPr>
            <w:r>
              <w:rPr/>
              <w:t> </w:t>
            </w:r>
          </w:p>
        </w:tc>
        <w:tc>
          <w:tcPr>
            <w:tcW w:w="34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Natural Alternatives International, Inc.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1910"/>
        <w:gridCol w:w="3515"/>
        <w:gridCol w:w="1925"/>
      </w:tblGrid>
      <w:tr>
        <w:trPr/>
        <w:tc>
          <w:tcPr>
            <w:tcW w:w="19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w:t>
            </w:r>
          </w:p>
        </w:tc>
        <w:tc>
          <w:tcPr>
            <w:tcW w:w="35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w:t>
            </w:r>
          </w:p>
        </w:tc>
        <w:tc>
          <w:tcPr>
            <w:tcW w:w="192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Date</w:t>
            </w:r>
          </w:p>
        </w:tc>
      </w:tr>
      <w:tr>
        <w:trPr/>
        <w:tc>
          <w:tcPr>
            <w:tcW w:w="191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r>
      <w:tr>
        <w:trPr/>
        <w:tc>
          <w:tcPr>
            <w:tcW w:w="19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A. LeDoux</w:t>
            </w:r>
          </w:p>
        </w:tc>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Chairman of the Board of Directors</w:t>
            </w:r>
          </w:p>
        </w:tc>
        <w:tc>
          <w:tcPr>
            <w:tcW w:w="1925" w:type="dxa"/>
            <w:tcBorders/>
            <w:vAlign w:val="center"/>
          </w:tcPr>
          <w:p>
            <w:pPr>
              <w:pStyle w:val="TableContents"/>
              <w:bidi w:val="0"/>
              <w:spacing w:before="0" w:after="283"/>
              <w:jc w:val="center"/>
              <w:rPr/>
            </w:pPr>
            <w:r>
              <w:rPr/>
              <w:t>September 28, 2026</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w:t>
            </w:r>
          </w:p>
        </w:tc>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1925" w:type="dxa"/>
            <w:tcBorders/>
            <w:vAlign w:val="center"/>
          </w:tcPr>
          <w:p>
            <w:pPr>
              <w:pStyle w:val="TableContents"/>
              <w:bidi w:val="0"/>
              <w:spacing w:before="0" w:after="283"/>
              <w:jc w:val="center"/>
              <w:rPr/>
            </w:pPr>
            <w:r>
              <w:rPr/>
              <w:t> </w:t>
            </w:r>
          </w:p>
        </w:tc>
      </w:tr>
      <w:tr>
        <w:trPr/>
        <w:tc>
          <w:tcPr>
            <w:tcW w:w="191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 </w:t>
            </w:r>
          </w:p>
        </w:tc>
      </w:tr>
      <w:tr>
        <w:trPr/>
        <w:tc>
          <w:tcPr>
            <w:tcW w:w="19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Kenneth E. Wolf</w:t>
            </w:r>
          </w:p>
        </w:tc>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and Chief Operating Officer</w:t>
            </w:r>
          </w:p>
        </w:tc>
        <w:tc>
          <w:tcPr>
            <w:tcW w:w="1925" w:type="dxa"/>
            <w:tcBorders/>
            <w:vAlign w:val="center"/>
          </w:tcPr>
          <w:p>
            <w:pPr>
              <w:pStyle w:val="TableContents"/>
              <w:bidi w:val="0"/>
              <w:spacing w:before="0" w:after="283"/>
              <w:jc w:val="center"/>
              <w:rPr/>
            </w:pPr>
            <w:r>
              <w:rPr/>
              <w:t>September 28, 2026</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(Kenneth E. Wolf)</w:t>
            </w:r>
          </w:p>
        </w:tc>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1925" w:type="dxa"/>
            <w:tcBorders/>
            <w:vAlign w:val="center"/>
          </w:tcPr>
          <w:p>
            <w:pPr>
              <w:pStyle w:val="TableContents"/>
              <w:bidi w:val="0"/>
              <w:spacing w:before="0" w:after="283"/>
              <w:jc w:val="center"/>
              <w:rPr/>
            </w:pPr>
            <w:r>
              <w:rPr/>
              <w:t> </w:t>
            </w:r>
          </w:p>
        </w:tc>
      </w:tr>
      <w:tr>
        <w:trPr/>
        <w:tc>
          <w:tcPr>
            <w:tcW w:w="191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 </w:t>
            </w:r>
          </w:p>
        </w:tc>
      </w:tr>
      <w:tr>
        <w:trPr/>
        <w:tc>
          <w:tcPr>
            <w:tcW w:w="19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G. Dunn</w:t>
            </w:r>
          </w:p>
        </w:tc>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1925" w:type="dxa"/>
            <w:tcBorders/>
            <w:vAlign w:val="center"/>
          </w:tcPr>
          <w:p>
            <w:pPr>
              <w:pStyle w:val="TableContents"/>
              <w:bidi w:val="0"/>
              <w:spacing w:before="0" w:after="283"/>
              <w:jc w:val="center"/>
              <w:rPr/>
            </w:pPr>
            <w:r>
              <w:rPr/>
              <w:t>September 28, 2026</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G. Dunn)</w:t>
            </w:r>
          </w:p>
        </w:tc>
        <w:tc>
          <w:tcPr>
            <w:tcW w:w="351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 </w:t>
            </w:r>
          </w:p>
        </w:tc>
      </w:tr>
      <w:tr>
        <w:trPr/>
        <w:tc>
          <w:tcPr>
            <w:tcW w:w="191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 </w:t>
            </w:r>
          </w:p>
        </w:tc>
      </w:tr>
      <w:tr>
        <w:trPr/>
        <w:tc>
          <w:tcPr>
            <w:tcW w:w="19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 Kay Matherly</w:t>
            </w:r>
          </w:p>
        </w:tc>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1925" w:type="dxa"/>
            <w:tcBorders/>
            <w:vAlign w:val="center"/>
          </w:tcPr>
          <w:p>
            <w:pPr>
              <w:pStyle w:val="TableContents"/>
              <w:bidi w:val="0"/>
              <w:spacing w:before="0" w:after="283"/>
              <w:jc w:val="center"/>
              <w:rPr/>
            </w:pPr>
            <w:r>
              <w:rPr/>
              <w:t>September 28, 2026</w:t>
            </w:r>
          </w:p>
        </w:tc>
      </w:tr>
      <w:tr>
        <w:trPr/>
        <w:tc>
          <w:tcPr>
            <w:tcW w:w="1910" w:type="dxa"/>
            <w:tcBorders/>
            <w:vAlign w:val="center"/>
          </w:tcPr>
          <w:p>
            <w:pPr>
              <w:pStyle w:val="TableContents"/>
              <w:bidi w:val="0"/>
              <w:spacing w:before="0" w:after="283"/>
              <w:jc w:val="left"/>
              <w:rPr/>
            </w:pPr>
            <w:r>
              <w:rPr/>
              <w:t>(L. Kay Matherly)</w:t>
            </w:r>
          </w:p>
        </w:tc>
        <w:tc>
          <w:tcPr>
            <w:tcW w:w="351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 </w:t>
            </w:r>
          </w:p>
        </w:tc>
      </w:tr>
      <w:tr>
        <w:trPr/>
        <w:tc>
          <w:tcPr>
            <w:tcW w:w="191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 </w:t>
            </w:r>
          </w:p>
        </w:tc>
      </w:tr>
      <w:tr>
        <w:trPr/>
        <w:tc>
          <w:tcPr>
            <w:tcW w:w="19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Guru Ramanathan</w:t>
            </w:r>
          </w:p>
        </w:tc>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1925" w:type="dxa"/>
            <w:tcBorders/>
            <w:vAlign w:val="center"/>
          </w:tcPr>
          <w:p>
            <w:pPr>
              <w:pStyle w:val="TableContents"/>
              <w:bidi w:val="0"/>
              <w:spacing w:before="0" w:after="283"/>
              <w:jc w:val="center"/>
              <w:rPr/>
            </w:pPr>
            <w:r>
              <w:rPr/>
              <w:t>September 28, 2026</w:t>
            </w:r>
          </w:p>
        </w:tc>
      </w:tr>
      <w:tr>
        <w:trPr/>
        <w:tc>
          <w:tcPr>
            <w:tcW w:w="1910" w:type="dxa"/>
            <w:tcBorders/>
            <w:vAlign w:val="center"/>
          </w:tcPr>
          <w:p>
            <w:pPr>
              <w:pStyle w:val="TableContents"/>
              <w:bidi w:val="0"/>
              <w:spacing w:before="0" w:after="283"/>
              <w:jc w:val="left"/>
              <w:rPr/>
            </w:pPr>
            <w:r>
              <w:rPr/>
              <w:t>(Guru Ramanathan)</w:t>
            </w:r>
          </w:p>
        </w:tc>
        <w:tc>
          <w:tcPr>
            <w:tcW w:w="351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 </w:t>
            </w:r>
          </w:p>
        </w:tc>
      </w:tr>
      <w:tr>
        <w:trPr/>
        <w:tc>
          <w:tcPr>
            <w:tcW w:w="191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54 </w:t>
      </w:r>
    </w:p>
    <w:p>
      <w:pPr>
        <w:pStyle w:val="TextBody"/>
        <w:bidi w:val="0"/>
        <w:jc w:val="left"/>
        <w:rPr/>
      </w:pPr>
      <w:bookmarkStart w:id="26" w:name="ex_1007904.htm"/>
      <w:bookmarkStart w:id="27" w:name="ksex_1007904"/>
      <w:bookmarkEnd w:id="26"/>
      <w:bookmarkEnd w:id="27"/>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10.49</w:t>
      </w:r>
    </w:p>
    <w:p>
      <w:pPr>
        <w:pStyle w:val="TextBody"/>
        <w:bidi w:val="0"/>
        <w:spacing w:before="0" w:after="0"/>
        <w:ind w:left="0" w:right="0" w:hanging="0"/>
        <w:jc w:val="right"/>
        <w:rPr/>
      </w:pPr>
      <w:r>
        <w:rPr/>
        <w:t> </w:t>
      </w:r>
    </w:p>
    <w:tbl>
      <w:tblPr>
        <w:tblW w:w="4550" w:type="dxa"/>
        <w:jc w:val="left"/>
        <w:tblInd w:w="0" w:type="dxa"/>
        <w:tblLayout w:type="fixed"/>
        <w:tblCellMar>
          <w:top w:w="0" w:type="dxa"/>
          <w:left w:w="0" w:type="dxa"/>
          <w:bottom w:w="0" w:type="dxa"/>
          <w:right w:w="0" w:type="dxa"/>
        </w:tblCellMar>
      </w:tblPr>
      <w:tblGrid>
        <w:gridCol w:w="1965"/>
        <w:gridCol w:w="2585"/>
      </w:tblGrid>
      <w:tr>
        <w:trPr/>
        <w:tc>
          <w:tcPr>
            <w:tcW w:w="1965"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5"/>
                          <a:stretch>
                            <a:fillRect/>
                          </a:stretch>
                        </pic:blipFill>
                        <pic:spPr bwMode="auto">
                          <a:xfrm>
                            <a:off x="0" y="0"/>
                            <a:ext cx="1247775" cy="504825"/>
                          </a:xfrm>
                          <a:prstGeom prst="rect">
                            <a:avLst/>
                          </a:prstGeom>
                        </pic:spPr>
                      </pic:pic>
                    </a:graphicData>
                  </a:graphic>
                </wp:inline>
              </w:drawing>
            </w:r>
          </w:p>
        </w:tc>
        <w:tc>
          <w:tcPr>
            <w:tcW w:w="2585" w:type="dxa"/>
            <w:tcBorders>
              <w:bottom w:val="single" w:sz="2" w:space="0" w:color="000000"/>
            </w:tcBorders>
            <w:tcMar>
              <w:bottom w:w="28" w:type="dxa"/>
            </w:tcMar>
            <w:vAlign w:val="center"/>
          </w:tcPr>
          <w:p>
            <w:pPr>
              <w:pStyle w:val="TableContents"/>
              <w:bidi w:val="0"/>
              <w:spacing w:before="0" w:after="283"/>
              <w:jc w:val="left"/>
              <w:rPr/>
            </w:pPr>
            <w:r>
              <w:rPr/>
              <w:t>Banking relationship</w:t>
              <w:br/>
              <w:t>0247 00554949</w:t>
            </w:r>
          </w:p>
        </w:tc>
      </w:tr>
      <w:tr>
        <w:trPr/>
        <w:tc>
          <w:tcPr>
            <w:tcW w:w="1965" w:type="dxa"/>
            <w:vMerge w:val="continue"/>
            <w:tcBorders/>
            <w:vAlign w:val="center"/>
          </w:tcPr>
          <w:p>
            <w:pPr>
              <w:pStyle w:val="Normal"/>
              <w:bidi w:val="0"/>
              <w:jc w:val="left"/>
              <w:rPr/>
            </w:pPr>
            <w:r>
              <w:rPr/>
            </w:r>
          </w:p>
        </w:tc>
        <w:tc>
          <w:tcPr>
            <w:tcW w:w="2585" w:type="dxa"/>
            <w:tcBorders/>
            <w:vAlign w:val="center"/>
          </w:tcPr>
          <w:p>
            <w:pPr>
              <w:pStyle w:val="TableContents"/>
              <w:bidi w:val="0"/>
              <w:spacing w:before="0" w:after="283"/>
              <w:jc w:val="left"/>
              <w:rPr/>
            </w:pPr>
            <w:r>
              <w:rPr/>
              <w:t>(for internal bank use only)</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UBS Switzerland AG</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Casella Postale 1064</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6830 Chiasso</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Tel. +41-91-801 66 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ubs.com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Credit Agreement</w:t>
      </w:r>
    </w:p>
    <w:p>
      <w:pPr>
        <w:pStyle w:val="TextBody"/>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UBS Corporate Financing</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70"/>
        <w:gridCol w:w="41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41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NAIE Natural Alternatives International Europe SA</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Via Cantonale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6928 Manno</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(hereinafter referred to as the ‘Borrower’)</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170"/>
        <w:gridCol w:w="263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Lender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UBS Switzerland AG</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Piazza Col. C. Bernasconi 5</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6830 Chiasso</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(hereinafter referred to as ‘UBS’)</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70"/>
        <w:gridCol w:w="683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8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facility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UBS grants the Borrower a credit facility in a </w:t>
            </w:r>
            <w:r>
              <w:rPr>
                <w:rFonts w:ascii="Times New Roman;Times;serif" w:hAnsi="Times New Roman;Times;serif"/>
                <w:b/>
                <w:sz w:val="20"/>
              </w:rPr>
              <w:t>maximum amount of 2 000 000 CHF</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70"/>
        <w:gridCol w:w="3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39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purpose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finance current assets for operating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Availability</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terms and conditions of this Credit Agreement, this credit facility is available in the following forms in CHF and/or any freely-available and convertible currency:</w:t>
            </w:r>
          </w:p>
        </w:tc>
      </w:tr>
    </w:tbl>
    <w:p>
      <w:pPr>
        <w:pStyle w:val="TextBody"/>
        <w:bidi w:val="0"/>
        <w:spacing w:before="0" w:after="0"/>
        <w:ind w:left="0" w:right="0" w:hanging="0"/>
        <w:jc w:val="left"/>
        <w:rPr/>
      </w:pPr>
      <w:r>
        <w:rPr/>
        <w:t> </w:t>
      </w:r>
    </w:p>
    <w:tbl>
      <w:tblPr>
        <w:tblW w:w="3835" w:type="dxa"/>
        <w:jc w:val="left"/>
        <w:tblInd w:w="0" w:type="dxa"/>
        <w:tblLayout w:type="fixed"/>
        <w:tblCellMar>
          <w:top w:w="0" w:type="dxa"/>
          <w:left w:w="0" w:type="dxa"/>
          <w:bottom w:w="0" w:type="dxa"/>
          <w:right w:w="0" w:type="dxa"/>
        </w:tblCellMar>
      </w:tblPr>
      <w:tblGrid>
        <w:gridCol w:w="60"/>
        <w:gridCol w:w="110"/>
        <w:gridCol w:w="3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current account overdraft.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a maximum amount of 1 500 000 CHF.</w:t>
            </w:r>
          </w:p>
        </w:tc>
      </w:tr>
    </w:tbl>
    <w:tbl>
      <w:tblPr>
        <w:tblW w:w="4330" w:type="dxa"/>
        <w:jc w:val="left"/>
        <w:tblInd w:w="0" w:type="dxa"/>
        <w:tblLayout w:type="fixed"/>
        <w:tblCellMar>
          <w:top w:w="0" w:type="dxa"/>
          <w:left w:w="0" w:type="dxa"/>
          <w:bottom w:w="0" w:type="dxa"/>
          <w:right w:w="0" w:type="dxa"/>
        </w:tblCellMar>
      </w:tblPr>
      <w:tblGrid>
        <w:gridCol w:w="60"/>
        <w:gridCol w:w="110"/>
        <w:gridCol w:w="41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UBS fixed advances with terms of 1 - 12 months.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a maximum amount of 1 500 000 CHF.</w:t>
            </w:r>
          </w:p>
        </w:tc>
      </w:tr>
    </w:tbl>
    <w:tbl>
      <w:tblPr>
        <w:tblW w:w="3790" w:type="dxa"/>
        <w:jc w:val="left"/>
        <w:tblInd w:w="0" w:type="dxa"/>
        <w:tblLayout w:type="fixed"/>
        <w:tblCellMar>
          <w:top w:w="0" w:type="dxa"/>
          <w:left w:w="0" w:type="dxa"/>
          <w:bottom w:w="0" w:type="dxa"/>
          <w:right w:w="0" w:type="dxa"/>
        </w:tblCellMar>
      </w:tblPr>
      <w:tblGrid>
        <w:gridCol w:w="60"/>
        <w:gridCol w:w="110"/>
        <w:gridCol w:w="36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UBS floating rate loan with no fixed term.</w:t>
            </w:r>
          </w:p>
        </w:tc>
      </w:tr>
    </w:tbl>
    <w:tbl>
      <w:tblPr>
        <w:tblW w:w="7915" w:type="dxa"/>
        <w:jc w:val="left"/>
        <w:tblInd w:w="0" w:type="dxa"/>
        <w:tblLayout w:type="fixed"/>
        <w:tblCellMar>
          <w:top w:w="0" w:type="dxa"/>
          <w:left w:w="0" w:type="dxa"/>
          <w:bottom w:w="0" w:type="dxa"/>
          <w:right w:w="0" w:type="dxa"/>
        </w:tblCellMar>
      </w:tblPr>
      <w:tblGrid>
        <w:gridCol w:w="60"/>
        <w:gridCol w:w="110"/>
        <w:gridCol w:w="7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issuing guarantees in form and substance acceptable to UBS with a maximum term of 1 year.</w:t>
            </w:r>
          </w:p>
        </w:tc>
      </w:tr>
    </w:tbl>
    <w:tbl>
      <w:tblPr>
        <w:tblW w:w="7585" w:type="dxa"/>
        <w:jc w:val="left"/>
        <w:tblInd w:w="0" w:type="dxa"/>
        <w:tblLayout w:type="fixed"/>
        <w:tblCellMar>
          <w:top w:w="0" w:type="dxa"/>
          <w:left w:w="0" w:type="dxa"/>
          <w:bottom w:w="0" w:type="dxa"/>
          <w:right w:w="0" w:type="dxa"/>
        </w:tblCellMar>
      </w:tblPr>
      <w:tblGrid>
        <w:gridCol w:w="60"/>
        <w:gridCol w:w="110"/>
        <w:gridCol w:w="74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opening of documentary credits in a form acceptable to UBS for a period of up to 1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UBS may amend unilaterally and at any time the utilization forms of the Credit Facility and/or cease the offering of certain utilization forms. In the event of a change in circumstances UBS reserves the right to refuse the utilization of the Credit Facility by the Borrower without termination of the Credit Agreement.</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25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rates and commission</w:t>
            </w:r>
          </w:p>
        </w:tc>
      </w:tr>
    </w:tbl>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75"/>
        <w:gridCol w:w="18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w:t>
            </w:r>
          </w:p>
        </w:tc>
        <w:tc>
          <w:tcPr>
            <w:tcW w:w="18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UBS current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applicable interest rates in CHF and common foreign currencies will be provided to the Borrower upon request.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Plus credit commission in the amount of 0,25% per quarter based on the maximum debit balance, but which shall not exceed 50% of the amount of interest charged per calendar quarter.</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At the end of each calendar quarter, a closing statement showing interest and commission charges shall be provided. UBS shall have the right to adjust interest and commission rates to changing market conditions at any time with immediate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220" w:type="dxa"/>
        <w:jc w:val="left"/>
        <w:tblInd w:w="0" w:type="dxa"/>
        <w:tblLayout w:type="fixed"/>
        <w:tblCellMar>
          <w:top w:w="0" w:type="dxa"/>
          <w:left w:w="0" w:type="dxa"/>
          <w:bottom w:w="0" w:type="dxa"/>
          <w:right w:w="0" w:type="dxa"/>
        </w:tblCellMar>
      </w:tblPr>
      <w:tblGrid>
        <w:gridCol w:w="1980"/>
        <w:gridCol w:w="2240"/>
      </w:tblGrid>
      <w:tr>
        <w:trPr/>
        <w:tc>
          <w:tcPr>
            <w:tcW w:w="1980"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6"/>
                          <a:stretch>
                            <a:fillRect/>
                          </a:stretch>
                        </pic:blipFill>
                        <pic:spPr bwMode="auto">
                          <a:xfrm>
                            <a:off x="0" y="0"/>
                            <a:ext cx="1247775" cy="504825"/>
                          </a:xfrm>
                          <a:prstGeom prst="rect">
                            <a:avLst/>
                          </a:prstGeom>
                        </pic:spPr>
                      </pic:pic>
                    </a:graphicData>
                  </a:graphic>
                </wp:inline>
              </w:drawing>
            </w:r>
          </w:p>
        </w:tc>
        <w:tc>
          <w:tcPr>
            <w:tcW w:w="224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Banking relationship</w:t>
              <w:br/>
              <w:t>0247 00554949</w:t>
            </w:r>
          </w:p>
        </w:tc>
      </w:tr>
      <w:tr>
        <w:trPr/>
        <w:tc>
          <w:tcPr>
            <w:tcW w:w="1980" w:type="dxa"/>
            <w:vMerge w:val="continue"/>
            <w:tcBorders/>
            <w:vAlign w:val="center"/>
          </w:tcPr>
          <w:p>
            <w:pPr>
              <w:pStyle w:val="Normal"/>
              <w:bidi w:val="0"/>
              <w:jc w:val="left"/>
              <w:rPr/>
            </w:pPr>
            <w:r>
              <w:rPr/>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internal bank use only)</w:t>
            </w:r>
          </w:p>
        </w:tc>
      </w:tr>
    </w:tbl>
    <w:p>
      <w:pPr>
        <w:pStyle w:val="TextBody"/>
        <w:bidi w:val="0"/>
        <w:spacing w:before="0" w:after="0"/>
        <w:ind w:left="0" w:right="0" w:hanging="0"/>
        <w:jc w:val="left"/>
        <w:rPr/>
      </w:pPr>
      <w:r>
        <w:rPr/>
        <w:t>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w:t>
            </w:r>
          </w:p>
        </w:tc>
        <w:tc>
          <w:tcPr>
            <w:tcW w:w="16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UBS fixed advances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For any advance with a term of up to and including 6 months, principal and interest shall be calculated and charged as a single payment at maturity.</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For any advance with a term of more than 6 months, interest shall be calculated and charged quarterly at the end of each calendar quarter. Principal and interest shall be calculated and charged at maturity.</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interest rate is composed of the base interest rate according to Euromarket rates for the relevant term and currency, and a UBS margin</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interest rate shall be fixed two bank working days prior to any advance being drawn down or renewed, for the corresponding term and currency. The instructions for drawdown or renewal must be received by UBS at least two bank working days before such drawdown or renewal. Where such instructions are unavailable, advances falling due shall not be renewed and both principal and interest shall be debited from the relevant current account.</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75"/>
        <w:gridCol w:w="19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6.3</w:t>
            </w:r>
          </w:p>
        </w:tc>
        <w:tc>
          <w:tcPr>
            <w:tcW w:w="19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UBS floating rate loan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interest rate is composed of the compounded overnight rate authoritative for the relevant currency (henceforth the base interest rate) plus the margin UBS determines.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For utilizations in CHF, the base interest rate shall be the compounded SARON, an interest rate provided by SIX Group Ltd., which is calculated and published according to the formula and methodology that SIX Group Ltd. publishes. For utilizations in USD, the SOFR compounded provided by the Federal Reserve Bank of New York shall be used as the base interest rate. For utilizations in EUR, the €STR compounded provided by the European Central Bank shall apply as the base interest rate, for utilizations in GBP the SONIA compounded provided by the Bank of England shall be used and for JPY the TONA compounded provided by the Bank of Japan shall be used. Base interest rates in foreign currency are also calculated according to the formula and methodology set by the administrator of the relevant reference interest rate.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interest period shall be one calendar quarter. The first interest period shall begin on the same calendar day as the disbursement of the loan amount and shall continue until the last calendar day of the calendar quarter. Afterward, the interest period shall continue from the last calendar day of each calendar quarter until the last calendar day of the next calendar quarter. The last interest period shall continue until the calendar day when the termination becomes effective.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For utilizations in CHF, the compounded SARON shall be calculated as the base interest rate by compounding the overnight rates published in the applicable interest period for the individual calculation days. For utilizations in the currencies EUR (€STR), USD (SOFR), GBP (SONIA) and JPY (TONA), the base interest rate is based on compounding the overnight rates that were valid two local bank working days before the applicable interest day, so that a so-called look back period of two local bank working days applies (see informational sheet on overnight rates and compounded overnight rates, which forms an integrated component of this credit agreement).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Borrower shall notify UBS of the desired amount and currency before the desired payout day.</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Borrower can change the amount, currency or the type of use in general subject to a notice period of 30 calendar days. Without such notice of the Borrower the UBS Floating Rate Loan shall be automatically continued with the current amount, currency and set margin.</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6.4</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Guarantees/documentary credits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Commissions and fees shall be fixed by UBS on a case-by-case basis, and shall depend in particular on the nature, size, term and complexity of the transaction as well as the Borrower’s credit rating.</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UBS shall have the right to adjust its commissions at any time during the term of a guarantee, subject to a notice period of 90 days. UBS shall notify the Borrower of such adjustment in writing.</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6.5</w:t>
            </w:r>
          </w:p>
        </w:tc>
        <w:tc>
          <w:tcPr>
            <w:tcW w:w="16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calculation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Interest shall be calculated on an act/360 basis, i.e. the actual number of days per month divided by a 360-day year.</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When determining the interest rate, and for the avoidance of doubt, the base interest rate may never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580" w:type="dxa"/>
        <w:jc w:val="left"/>
        <w:tblInd w:w="0" w:type="dxa"/>
        <w:tblLayout w:type="fixed"/>
        <w:tblCellMar>
          <w:top w:w="0" w:type="dxa"/>
          <w:left w:w="0" w:type="dxa"/>
          <w:bottom w:w="0" w:type="dxa"/>
          <w:right w:w="0" w:type="dxa"/>
        </w:tblCellMar>
      </w:tblPr>
      <w:tblGrid>
        <w:gridCol w:w="1980"/>
        <w:gridCol w:w="2600"/>
      </w:tblGrid>
      <w:tr>
        <w:trPr/>
        <w:tc>
          <w:tcPr>
            <w:tcW w:w="1980"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7"/>
                          <a:stretch>
                            <a:fillRect/>
                          </a:stretch>
                        </pic:blipFill>
                        <pic:spPr bwMode="auto">
                          <a:xfrm>
                            <a:off x="0" y="0"/>
                            <a:ext cx="1247775" cy="504825"/>
                          </a:xfrm>
                          <a:prstGeom prst="rect">
                            <a:avLst/>
                          </a:prstGeom>
                        </pic:spPr>
                      </pic:pic>
                    </a:graphicData>
                  </a:graphic>
                </wp:inline>
              </w:drawing>
            </w:r>
          </w:p>
        </w:tc>
        <w:tc>
          <w:tcPr>
            <w:tcW w:w="260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Banking relationship</w:t>
              <w:br/>
              <w:t>0247 00554949</w:t>
            </w:r>
          </w:p>
        </w:tc>
      </w:tr>
      <w:tr>
        <w:trPr/>
        <w:tc>
          <w:tcPr>
            <w:tcW w:w="1980" w:type="dxa"/>
            <w:vMerge w:val="continue"/>
            <w:tcBorders/>
            <w:vAlign w:val="center"/>
          </w:tcPr>
          <w:p>
            <w:pPr>
              <w:pStyle w:val="Normal"/>
              <w:bidi w:val="0"/>
              <w:jc w:val="left"/>
              <w:rPr/>
            </w:pPr>
            <w:r>
              <w:rPr/>
            </w:r>
          </w:p>
        </w:tc>
        <w:tc>
          <w:tcPr>
            <w:tcW w:w="2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internal bank use only)</w:t>
            </w:r>
          </w:p>
        </w:tc>
      </w:tr>
    </w:tbl>
    <w:p>
      <w:pPr>
        <w:pStyle w:val="TextBody"/>
        <w:bidi w:val="0"/>
        <w:spacing w:before="0" w:after="0"/>
        <w:ind w:left="0" w:right="0" w:hanging="0"/>
        <w:jc w:val="left"/>
        <w:rPr/>
      </w:pPr>
      <w:r>
        <w:rPr/>
        <w:t> </w:t>
      </w:r>
    </w:p>
    <w:tbl>
      <w:tblPr>
        <w:tblW w:w="3685" w:type="dxa"/>
        <w:jc w:val="left"/>
        <w:tblInd w:w="0" w:type="dxa"/>
        <w:tblLayout w:type="fixed"/>
        <w:tblCellMar>
          <w:top w:w="0" w:type="dxa"/>
          <w:left w:w="0" w:type="dxa"/>
          <w:bottom w:w="0" w:type="dxa"/>
          <w:right w:w="0" w:type="dxa"/>
        </w:tblCellMar>
      </w:tblPr>
      <w:tblGrid>
        <w:gridCol w:w="275"/>
        <w:gridCol w:w="34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6.6</w:t>
            </w:r>
          </w:p>
        </w:tc>
        <w:tc>
          <w:tcPr>
            <w:tcW w:w="34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Non-availability of the base interest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the base interest rate is no longer available in a currency as a recognized reference interest rate or is no longer published, the Contracting Parties agree that UBS shall determine the interest rate on the basis of another reference interest rate that is economically as nearly equivalent as possible. Reference interest rates deemed to be equivalent are specifically those rates that are calculated for the purpose of the value-neutral conversion of loans that were previously tied to the base interest rate in a currency.</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If an economically equivalent reference interest rate is not available from third parties, and if no recognized premium or discount for the value-neutral conversion from the base interest rate in a currency to a replacement rate has been published, UBS will itself establish a corresponding premium or discount, publish it and take it into account when determining the interest rate.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it is agreed that also in the event the base interest rate in a currency is discontinued, the reference value (before the margin) that is applied according to the aforementioned provisions can never be less than zero.</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Starting at the time when the base interest rate in a currency is no longer available, new utilizations under the respective type of use are no longer possible.</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70"/>
        <w:gridCol w:w="11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11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Handling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handling fees amount to an one-time payment of 15 000 CHF.</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later redemption of the credit facility by a third party, UBS shall charge the Borrower 300 CHF for work and expenses incurred.</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Cantonal stamp duty in the amount of 20 CHF due upon receipt of the Credit Agreement countersigned by the Borrower. This fee shall be debited directly to the corresponding current account.</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70"/>
        <w:gridCol w:w="443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44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Maturity of Interests, Commissions and Fees / Debits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Interests, commissions and fees shall be payable on the agreed maturity date and the agreed account shall be debited, even if the day in question is a Saturday, Sunday or public holiday. Where interest or capital re-payments are delayed, interest on arrears, increased by at least 2% p.a., shall be charged.</w:t>
      </w:r>
    </w:p>
    <w:p>
      <w:pPr>
        <w:pStyle w:val="TextBody"/>
        <w:bidi w:val="0"/>
        <w:spacing w:before="0" w:after="0"/>
        <w:ind w:left="0" w:right="0" w:hanging="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170"/>
        <w:gridCol w:w="7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7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forms of security listed below shall serve UBS as security for all claims including all past due and current interest, commission, etc.:</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60"/>
        <w:gridCol w:w="185"/>
        <w:gridCol w:w="782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8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Assignment of all accounts receivable, pursuant to the separate document «Global Assignment».</w:t>
            </w:r>
          </w:p>
        </w:tc>
      </w:tr>
    </w:tbl>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0" w:type="dxa"/>
          <w:left w:w="0" w:type="dxa"/>
          <w:bottom w:w="0" w:type="dxa"/>
          <w:right w:w="0" w:type="dxa"/>
        </w:tblCellMar>
      </w:tblPr>
      <w:tblGrid>
        <w:gridCol w:w="275"/>
        <w:gridCol w:w="5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5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Until further notice.</w:t>
      </w:r>
    </w:p>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75"/>
        <w:gridCol w:w="11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11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Termination</w:t>
            </w:r>
          </w:p>
        </w:tc>
      </w:tr>
    </w:tbl>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380"/>
        <w:gridCol w:w="188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18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Ordinary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Borrower shall have the right to terminate this Credit Agreement at any time with immediate effect.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UBS shall have the right to terminate this Credit Agreement at any time with immediate effect, and to refuse to make funds available to the Borrower under the credit facility at its discretion, without having to provide any reasons.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Any termination shall cancel the unused portion of the credit facility with immediate effect.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the credit facility has been drawn down, any outstanding amounts shall become due and payable as follows:</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60"/>
        <w:gridCol w:w="170"/>
        <w:gridCol w:w="1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 xml:space="preserve">▪ </w:t>
            </w:r>
          </w:p>
        </w:tc>
        <w:tc>
          <w:tcPr>
            <w:tcW w:w="17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UBS current account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immediately</w:t>
            </w:r>
          </w:p>
        </w:tc>
      </w:tr>
    </w:tbl>
    <w:tbl>
      <w:tblPr>
        <w:tblW w:w="2845" w:type="dxa"/>
        <w:jc w:val="left"/>
        <w:tblInd w:w="0" w:type="dxa"/>
        <w:tblLayout w:type="fixed"/>
        <w:tblCellMar>
          <w:top w:w="0" w:type="dxa"/>
          <w:left w:w="0" w:type="dxa"/>
          <w:bottom w:w="0" w:type="dxa"/>
          <w:right w:w="0" w:type="dxa"/>
        </w:tblCellMar>
      </w:tblPr>
      <w:tblGrid>
        <w:gridCol w:w="60"/>
        <w:gridCol w:w="170"/>
        <w:gridCol w:w="2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 xml:space="preserve">▪ </w:t>
            </w:r>
          </w:p>
        </w:tc>
        <w:tc>
          <w:tcPr>
            <w:tcW w:w="26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UBS fixed advance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expiration of the agreed term</w:t>
            </w:r>
          </w:p>
        </w:tc>
      </w:tr>
    </w:tbl>
    <w:tbl>
      <w:tblPr>
        <w:tblW w:w="3115" w:type="dxa"/>
        <w:jc w:val="left"/>
        <w:tblInd w:w="0" w:type="dxa"/>
        <w:tblLayout w:type="fixed"/>
        <w:tblCellMar>
          <w:top w:w="0" w:type="dxa"/>
          <w:left w:w="0" w:type="dxa"/>
          <w:bottom w:w="0" w:type="dxa"/>
          <w:right w:w="0" w:type="dxa"/>
        </w:tblCellMar>
      </w:tblPr>
      <w:tblGrid>
        <w:gridCol w:w="60"/>
        <w:gridCol w:w="170"/>
        <w:gridCol w:w="2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 xml:space="preserve">▪ </w:t>
            </w:r>
          </w:p>
        </w:tc>
        <w:tc>
          <w:tcPr>
            <w:tcW w:w="28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UBS floating rate loan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30 calendar days have expired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580" w:type="dxa"/>
        <w:jc w:val="left"/>
        <w:tblInd w:w="0" w:type="dxa"/>
        <w:tblLayout w:type="fixed"/>
        <w:tblCellMar>
          <w:top w:w="0" w:type="dxa"/>
          <w:left w:w="0" w:type="dxa"/>
          <w:bottom w:w="0" w:type="dxa"/>
          <w:right w:w="0" w:type="dxa"/>
        </w:tblCellMar>
      </w:tblPr>
      <w:tblGrid>
        <w:gridCol w:w="1980"/>
        <w:gridCol w:w="2600"/>
      </w:tblGrid>
      <w:tr>
        <w:trPr/>
        <w:tc>
          <w:tcPr>
            <w:tcW w:w="1980"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8"/>
                          <a:stretch>
                            <a:fillRect/>
                          </a:stretch>
                        </pic:blipFill>
                        <pic:spPr bwMode="auto">
                          <a:xfrm>
                            <a:off x="0" y="0"/>
                            <a:ext cx="1247775" cy="504825"/>
                          </a:xfrm>
                          <a:prstGeom prst="rect">
                            <a:avLst/>
                          </a:prstGeom>
                        </pic:spPr>
                      </pic:pic>
                    </a:graphicData>
                  </a:graphic>
                </wp:inline>
              </w:drawing>
            </w:r>
          </w:p>
        </w:tc>
        <w:tc>
          <w:tcPr>
            <w:tcW w:w="260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Banking relationship</w:t>
              <w:br/>
              <w:t>0247 00554949</w:t>
            </w:r>
          </w:p>
        </w:tc>
      </w:tr>
      <w:tr>
        <w:trPr/>
        <w:tc>
          <w:tcPr>
            <w:tcW w:w="1980" w:type="dxa"/>
            <w:vMerge w:val="continue"/>
            <w:tcBorders/>
            <w:vAlign w:val="center"/>
          </w:tcPr>
          <w:p>
            <w:pPr>
              <w:pStyle w:val="Normal"/>
              <w:bidi w:val="0"/>
              <w:jc w:val="left"/>
              <w:rPr/>
            </w:pPr>
            <w:r>
              <w:rPr/>
            </w:r>
          </w:p>
        </w:tc>
        <w:tc>
          <w:tcPr>
            <w:tcW w:w="2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internal bank use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If, at the time of any ordinary termination, any use of the credit facility is made in the form of guarantees and documentary credits, the Borrower undertakes to release UBS within six months since the date of the termination at the latest from such contingent obligations or to provide security by pledging marketable assets up to the full amount of those commitments plus a customary bank margin.</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380"/>
        <w:gridCol w:w="233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11.2</w:t>
            </w:r>
          </w:p>
        </w:tc>
        <w:tc>
          <w:tcPr>
            <w:tcW w:w="23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Extraordinary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Borrower shall have the right to terminate this Credit Agreement extraordinarily at any time by observing a period of 10 days’ advance notice, and to repay any outstanding amounts drawn down under the same in whole or in part. In the event that the outstanding amount becomes due as a result of an extraordinary termination during a current fixed interest period or on a date other than the original due date, an indemnity pursuant to paragraph 1 of «Indemnity in the event of an extraordinary termination» is due and payable on the due date of the premature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UBS shall have the right to terminate this Credit Agreement at any time with immediate effect, and to declare all outstanding amounts including accrued interest, commission, fees, etc. immediately due and payable, irrespective of the term of any credit facility granted to the Borrower,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Borrower or a Group company («Group company» shall hereinafter mean any company that is controlled by the Borrower within the meaning of Art. 963, para. 2 of the Swiss Code of Obligations) is more than 30 calendar days in arrears with payment of interest, commission and/or principal payments owed to UBS or a third party (including any parties that may have acquired claims under the credit granted), or fails to reduce overdrafts by repayment or providing sufficient additional security within the time period set therefor by UBS.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Borrower or one of its Group companies is/are required by official order (in particular in the area of environmental protection) to undertake remedial measures which are deemed by UBS as having a potentially material effect on the Borrower’s ability to perform its financial obligations.</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185"/>
        <w:gridCol w:w="770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77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opinion of UBS a material reduction in the value of security is imminent or has occurred.</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60"/>
        <w:gridCol w:w="185"/>
        <w:gridCol w:w="963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has been a change of ownership/controlling interests in relation to the Borrower which UBS deems to be material.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Borrower or a Group company changes its/their legal or commercial structure, e.g. through liquidation, sale of a substantial part of its assets, change of its objects or business activities, merger or restructuring, provided that the relevant event is deemed by UBS as having a potentially material effect on the Borrower’s ability to perform its financial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6)</w:t>
            </w:r>
          </w:p>
        </w:tc>
        <w:tc>
          <w:tcPr>
            <w:tcW w:w="9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regard to the Borrower or a Group company bankruptcy proceedings are filed and/or an application for court or out-of-court creditor protection is made and/or if debt enforcement proceedings are threatened or have already been initiated.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7)</w:t>
            </w:r>
          </w:p>
        </w:tc>
        <w:tc>
          <w:tcPr>
            <w:tcW w:w="99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Borrower or a Group company has suspended payments or the earnings or asset position of the Borrower or a Group company is deemed by UBS to have deteriorated significantly.</w:t>
            </w:r>
          </w:p>
        </w:tc>
      </w:tr>
    </w:tbl>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0"/>
        <w:gridCol w:w="185"/>
        <w:gridCol w:w="872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8)</w:t>
            </w:r>
          </w:p>
        </w:tc>
        <w:tc>
          <w:tcPr>
            <w:tcW w:w="87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Borrower or a Group company is in breach of any other obligations arising under this Credit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If, at the time of any extraordinary termination, any use of the credit facility is made in the form of guarantees and documentary credits, the Borrower undertakes to release UBS immediately from such contingent obligations or to provide security by pledging marketable assets up to the full amount of those commitments plus a customary bank margin.</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75"/>
        <w:gridCol w:w="467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46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Indemnity in the event of an extraordinary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an extraordinary termination by the Borrower an indemnity must be paid. This indemnity shall be calculated on the basis of the difference interest rate applied until the end of the fixed interest period, whereas the difference interest rate shall be the difference between the agreed interest rate and the interest rate obtainable at the time of the premature repayment on an investment in the money or capital market with a corresponding remaining term. If the interest rate is higher than the investment rate, the resulting difference shall be charged to the Borrower; if the interest rate is less than the investment rate, the resulting difference shall be credited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580" w:type="dxa"/>
        <w:jc w:val="left"/>
        <w:tblInd w:w="0" w:type="dxa"/>
        <w:tblLayout w:type="fixed"/>
        <w:tblCellMar>
          <w:top w:w="0" w:type="dxa"/>
          <w:left w:w="0" w:type="dxa"/>
          <w:bottom w:w="0" w:type="dxa"/>
          <w:right w:w="0" w:type="dxa"/>
        </w:tblCellMar>
      </w:tblPr>
      <w:tblGrid>
        <w:gridCol w:w="1980"/>
        <w:gridCol w:w="2600"/>
      </w:tblGrid>
      <w:tr>
        <w:trPr/>
        <w:tc>
          <w:tcPr>
            <w:tcW w:w="1980"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9"/>
                          <a:stretch>
                            <a:fillRect/>
                          </a:stretch>
                        </pic:blipFill>
                        <pic:spPr bwMode="auto">
                          <a:xfrm>
                            <a:off x="0" y="0"/>
                            <a:ext cx="1247775" cy="504825"/>
                          </a:xfrm>
                          <a:prstGeom prst="rect">
                            <a:avLst/>
                          </a:prstGeom>
                        </pic:spPr>
                      </pic:pic>
                    </a:graphicData>
                  </a:graphic>
                </wp:inline>
              </w:drawing>
            </w:r>
          </w:p>
        </w:tc>
        <w:tc>
          <w:tcPr>
            <w:tcW w:w="260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Banking relationship</w:t>
              <w:br/>
              <w:t>0247 00554949</w:t>
            </w:r>
          </w:p>
        </w:tc>
      </w:tr>
      <w:tr>
        <w:trPr/>
        <w:tc>
          <w:tcPr>
            <w:tcW w:w="1980" w:type="dxa"/>
            <w:vMerge w:val="continue"/>
            <w:tcBorders/>
            <w:vAlign w:val="center"/>
          </w:tcPr>
          <w:p>
            <w:pPr>
              <w:pStyle w:val="Normal"/>
              <w:bidi w:val="0"/>
              <w:jc w:val="left"/>
              <w:rPr/>
            </w:pPr>
            <w:r>
              <w:rPr/>
            </w:r>
          </w:p>
        </w:tc>
        <w:tc>
          <w:tcPr>
            <w:tcW w:w="2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internal bank use only)</w:t>
            </w:r>
          </w:p>
        </w:tc>
      </w:tr>
    </w:tbl>
    <w:p>
      <w:pPr>
        <w:pStyle w:val="TextBody"/>
        <w:bidi w:val="0"/>
        <w:spacing w:before="0" w:after="0"/>
        <w:ind w:left="0" w:right="0" w:hanging="0"/>
        <w:jc w:val="left"/>
        <w:rPr/>
      </w:pPr>
      <w:r>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UBS terminates this Credit Agreement extraordinarily, the Borrower shall be liable to indemnify UBS for all losses UBS has suffered and/or costs incurred as a result, for any amount utilized under the Credit Agreement with a fixed interest period, in particular but not limited to, any indemnity which shall be calculated on the basis of the difference interest rate applied until the end of the fixed interest period, whereas the difference interest rate shall be the difference between the agreed interest rate and the interest rate obtainable at the time of the premature repayment on an investment in the money or capital market with a corresponding remaining term. UBS reserves the right to claim additional compensation.</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75"/>
        <w:gridCol w:w="269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w:t>
            </w:r>
          </w:p>
        </w:tc>
        <w:tc>
          <w:tcPr>
            <w:tcW w:w="26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Borrower represents and warrants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Borrower has not created any security interest in respect of its own obligations and/or the obligations of third parties other than security given under this Credit Agreement or in the context of other credit agreements with UBS and/or any security given in favour of other creditors with respect to which the Borrower has expressly notified UBS.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event has occurred which would entitle UBS to effect extraordinary termination, and no legal action is pending which could have a material adverse effect on the Borrower or its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the time of entering into this Credit Agreement, there is no official order affecting it (in particular in the area of environmental protection), with the exception of any such orders of which UBS has been informed. The Borrower confirms that this is also the case for the companies under its control.</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c>
        <w:tc>
          <w:tcPr>
            <w:tcW w:w="15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Positive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Borrower undertakes:</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85"/>
        <w:gridCol w:w="630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3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effect all payment transactions via UBS, in order to facilitate credit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maintain, on a continuous basis, a minimum equity of 10,000,000 CHF (ten million Swiss francs) at the level of the Swiss entity [NAIE Natural Alternatives International Europe SA], as evidenced by the latest approved financial statements prepared in accordance with the applicable accounting principles. Failure to comply with this requirement shall constitute a material breach under this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w:t>
            </w:r>
          </w:p>
        </w:tc>
        <w:tc>
          <w:tcPr>
            <w:tcW w:w="16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Negative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Borrower undertakes and ensures that neither the Borrower nor any group company, without prior written consent from UBS, will,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enter into or assume any obligations (incl. contingent liabilities) which are secured by a right of lien, collateral agreement or any other encumbrance upon its current or future assets.</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60"/>
        <w:gridCol w:w="185"/>
        <w:gridCol w:w="71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7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secure existing obligations (incl. contingent liabilities) in the above-mentioned manner.</w:t>
            </w:r>
          </w:p>
        </w:tc>
      </w:tr>
    </w:tbl>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60"/>
        <w:gridCol w:w="185"/>
        <w:gridCol w:w="839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8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any security for obligations (incl. contingent liabilities) of any group company and/or third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prioritize any third party claims (incl. group company claims) over UBS claims out of or in connection with this Credit Agreement (pari passu).</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75"/>
        <w:gridCol w:w="21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w:t>
            </w:r>
          </w:p>
        </w:tc>
        <w:tc>
          <w:tcPr>
            <w:tcW w:w="21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Information undertaking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For the entire term of this Credit Agreement, the Borrower undertakes to provide the following information to UBS: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annually one copy of the balance sheet, the profit and loss statement and, if required by law, an audit report compliant with the legal requirements by no later than four months following the end of the financial year (separate and consolidated).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change in circumstances UBS reserves the right to demand an audit report or to increase the requirements the audit report has to fulfill.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one copy of the budget, including the investment budget by no later than 30 calendar days prior to commencement of the relevant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Borrower undertakes, for the entire term of this credit facility, to immediately inform UBS of any material changes, in particular of the occurrence, or likely occurrence, of any circumstances which might constitute grounds for extraordinary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UBS treats this information as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580" w:type="dxa"/>
        <w:jc w:val="left"/>
        <w:tblInd w:w="0" w:type="dxa"/>
        <w:tblLayout w:type="fixed"/>
        <w:tblCellMar>
          <w:top w:w="0" w:type="dxa"/>
          <w:left w:w="0" w:type="dxa"/>
          <w:bottom w:w="0" w:type="dxa"/>
          <w:right w:w="0" w:type="dxa"/>
        </w:tblCellMar>
      </w:tblPr>
      <w:tblGrid>
        <w:gridCol w:w="1980"/>
        <w:gridCol w:w="2600"/>
      </w:tblGrid>
      <w:tr>
        <w:trPr/>
        <w:tc>
          <w:tcPr>
            <w:tcW w:w="1980"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60"/>
                          <a:stretch>
                            <a:fillRect/>
                          </a:stretch>
                        </pic:blipFill>
                        <pic:spPr bwMode="auto">
                          <a:xfrm>
                            <a:off x="0" y="0"/>
                            <a:ext cx="1247775" cy="504825"/>
                          </a:xfrm>
                          <a:prstGeom prst="rect">
                            <a:avLst/>
                          </a:prstGeom>
                        </pic:spPr>
                      </pic:pic>
                    </a:graphicData>
                  </a:graphic>
                </wp:inline>
              </w:drawing>
            </w:r>
          </w:p>
        </w:tc>
        <w:tc>
          <w:tcPr>
            <w:tcW w:w="260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Banking relationship</w:t>
              <w:br/>
              <w:t>0247 00554949</w:t>
            </w:r>
          </w:p>
        </w:tc>
      </w:tr>
      <w:tr>
        <w:trPr/>
        <w:tc>
          <w:tcPr>
            <w:tcW w:w="1980" w:type="dxa"/>
            <w:vMerge w:val="continue"/>
            <w:tcBorders/>
            <w:vAlign w:val="center"/>
          </w:tcPr>
          <w:p>
            <w:pPr>
              <w:pStyle w:val="Normal"/>
              <w:bidi w:val="0"/>
              <w:jc w:val="left"/>
              <w:rPr/>
            </w:pPr>
            <w:r>
              <w:rPr/>
            </w:r>
          </w:p>
        </w:tc>
        <w:tc>
          <w:tcPr>
            <w:tcW w:w="2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internal bank use only)</w:t>
            </w:r>
          </w:p>
        </w:tc>
      </w:tr>
    </w:tbl>
    <w:p>
      <w:pPr>
        <w:pStyle w:val="TextBody"/>
        <w:bidi w:val="0"/>
        <w:spacing w:before="0" w:after="0"/>
        <w:ind w:left="0" w:right="0" w:hanging="0"/>
        <w:jc w:val="left"/>
        <w:rPr/>
      </w:pPr>
      <w:r>
        <w:rPr/>
        <w:t> </w:t>
      </w:r>
    </w:p>
    <w:tbl>
      <w:tblPr>
        <w:tblW w:w="2080" w:type="dxa"/>
        <w:jc w:val="left"/>
        <w:tblInd w:w="0" w:type="dxa"/>
        <w:tblLayout w:type="fixed"/>
        <w:tblCellMar>
          <w:top w:w="0" w:type="dxa"/>
          <w:left w:w="0" w:type="dxa"/>
          <w:bottom w:w="0" w:type="dxa"/>
          <w:right w:w="0" w:type="dxa"/>
        </w:tblCellMar>
      </w:tblPr>
      <w:tblGrid>
        <w:gridCol w:w="275"/>
        <w:gridCol w:w="180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w:t>
            </w:r>
          </w:p>
        </w:tc>
        <w:tc>
          <w:tcPr>
            <w:tcW w:w="1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Conditions precedent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No utilisation may be drawn down until all copies of the documents listed below have been received by UBS, executed in the required form and satisfactory to UBS, and UBS has received the agreed security in legally valid form:</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60"/>
        <w:gridCol w:w="110"/>
        <w:gridCol w:w="2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copy of this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60"/>
        <w:gridCol w:w="110"/>
        <w:gridCol w:w="15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5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Assignment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UBS has not received all of the documents and/or security, in the required form, within one month of the date of execution of this Credit Agreement, UBS shall be authorized to rescind this Credit Agreement without granting any extension of the deadline for receiving the said documents and/or security.</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Miscellaneous provisions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380"/>
        <w:gridCol w:w="513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18.1</w:t>
            </w:r>
          </w:p>
        </w:tc>
        <w:tc>
          <w:tcPr>
            <w:tcW w:w="51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Terms and Conditions and Disclosure of Client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«General Terms and Conditions» of UBS as well as the document «Disclosure of Client Data» shall form an integral part of this Credit Agreement.</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380"/>
        <w:gridCol w:w="344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18.2</w:t>
            </w:r>
          </w:p>
        </w:tc>
        <w:tc>
          <w:tcPr>
            <w:tcW w:w="34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Order in which security shall be realized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several items of security have been provided to UBS, UBS shall, if and when realizing the security, decide at its discretion to what extent and in which order the items shall be realized, and how the proceeds from such realization shall be allocated to the individual drawdowns.</w:t>
      </w:r>
    </w:p>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380"/>
        <w:gridCol w:w="122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18.3</w:t>
            </w:r>
          </w:p>
        </w:tc>
        <w:tc>
          <w:tcPr>
            <w:tcW w:w="12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Increased 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increased costs are incurred by UBS due to governmental regulations, for example the introduction of minimum reserves, credit taxation or alterations in minimum equity capital rates, these additional expenses shall be borne by the Borrower. In such cases, UBS will be entitled to increase correspondingly the relevant interest rates and commissions by observing a period of at least 30 days’ advance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If UBS is forced to increase the interest rates and commissions in accordance with this clause, the Borrower shall be entitled to repay the credit/amounts drawn down affected by such increase together with interest rates and commissions, by observing a period of at least 30 days’ advance notice. The costs of such early repayment shall be borne by the Borrower pursuant to paragraph 1 of «Indemnity in the event of an extraordinary termination».</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275"/>
        <w:gridCol w:w="452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w:t>
            </w:r>
          </w:p>
        </w:tc>
        <w:tc>
          <w:tcPr>
            <w:tcW w:w="45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Transfer of credit claims and banking secrecy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UBS shall have the right to offer for transfer, or to transfer, in whole or in part, its rights under this Contract, including any collateral provided in respect of the credit facility, such as mortgage notes and/or any other collateral, to any third parties in Switzerland or abroad.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UBS may at any time provide all third parties, including rating agencies, which may be parties to such transfer, with access to all information and data relevant to the transfer, and shall be released in this regard from the statutory obligation to maintain banking secrecy. Insofar as third parties are not subject to Swiss legislation on banking secrecy, information and data shall only be disclosed if the said parties undertake to maintain secrecy.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All purchasers shall be entitled to further assign the rights acquired, provided that each subsequent purchaser also undertakes to maintain secrecy.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Mortgage notes and/or other collateral provided in respect of the credit facility may be transferred only if the rights under this Contract are also transferred at the same time, in whole or in part, or if it is ensured in any other way that the provider of collateral can also exercise against the purchaser of the mortgage note and/or other collateral any right of objection against the respective owner of the credit claim; and that the provider of collateral can, after full repayment of all secured claims, demand delivery of the mortgage note and/or other collateral provided in respect of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UBS (and any party acquiring rights as a result of any transfer made in accordance with this clause) may, without having to obtain further consent from the Borrower, assign, along with the transferred rights, any limit obligation agreed under this Contract, and/or any other obligations arising hereunder, to the purchaser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580" w:type="dxa"/>
        <w:jc w:val="left"/>
        <w:tblInd w:w="0" w:type="dxa"/>
        <w:tblLayout w:type="fixed"/>
        <w:tblCellMar>
          <w:top w:w="0" w:type="dxa"/>
          <w:left w:w="0" w:type="dxa"/>
          <w:bottom w:w="0" w:type="dxa"/>
          <w:right w:w="0" w:type="dxa"/>
        </w:tblCellMar>
      </w:tblPr>
      <w:tblGrid>
        <w:gridCol w:w="1980"/>
        <w:gridCol w:w="2600"/>
      </w:tblGrid>
      <w:tr>
        <w:trPr/>
        <w:tc>
          <w:tcPr>
            <w:tcW w:w="1980"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61"/>
                          <a:stretch>
                            <a:fillRect/>
                          </a:stretch>
                        </pic:blipFill>
                        <pic:spPr bwMode="auto">
                          <a:xfrm>
                            <a:off x="0" y="0"/>
                            <a:ext cx="1247775" cy="504825"/>
                          </a:xfrm>
                          <a:prstGeom prst="rect">
                            <a:avLst/>
                          </a:prstGeom>
                        </pic:spPr>
                      </pic:pic>
                    </a:graphicData>
                  </a:graphic>
                </wp:inline>
              </w:drawing>
            </w:r>
          </w:p>
        </w:tc>
        <w:tc>
          <w:tcPr>
            <w:tcW w:w="260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Banking relationship</w:t>
              <w:br/>
              <w:t>0247 00554949</w:t>
            </w:r>
          </w:p>
        </w:tc>
      </w:tr>
      <w:tr>
        <w:trPr/>
        <w:tc>
          <w:tcPr>
            <w:tcW w:w="1980" w:type="dxa"/>
            <w:vMerge w:val="continue"/>
            <w:tcBorders/>
            <w:vAlign w:val="center"/>
          </w:tcPr>
          <w:p>
            <w:pPr>
              <w:pStyle w:val="Normal"/>
              <w:bidi w:val="0"/>
              <w:jc w:val="left"/>
              <w:rPr/>
            </w:pPr>
            <w:r>
              <w:rPr/>
            </w:r>
          </w:p>
        </w:tc>
        <w:tc>
          <w:tcPr>
            <w:tcW w:w="2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internal bank use only)</w:t>
            </w:r>
          </w:p>
        </w:tc>
      </w:tr>
    </w:tbl>
    <w:p>
      <w:pPr>
        <w:pStyle w:val="TextBody"/>
        <w:bidi w:val="0"/>
        <w:spacing w:before="0" w:after="0"/>
        <w:ind w:left="0" w:right="0" w:hanging="0"/>
        <w:jc w:val="left"/>
        <w:rPr/>
      </w:pPr>
      <w:r>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Any party acquiring such obligations must either be a company affiliated with UBS, or a Swiss or foreign financial institution (bank, insurance company, or similar). UBS shall be released from any obligation to the extent that it transfers the same. In accordance with and pursuant to this provision, UBS shall be also entitled to transfer the Contract as a whole to such a purchaser (transfer of contract). Each purchaser shall be entitled to further transfer the entire Contract to a subsequent purchaser.</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75"/>
        <w:gridCol w:w="14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w:t>
            </w:r>
          </w:p>
        </w:tc>
        <w:tc>
          <w:tcPr>
            <w:tcW w:w="14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Waiver of set-off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Borrower waives its right to offset its obligations against any claims it may have against UBS and/or any party acquiring rights under this Credit Agreement, even if such claim by way of set-off against UBS, or any party acquiring rights hereunder, may not be recoverable as a result of insolvency or over-indebtedness.</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75"/>
        <w:gridCol w:w="336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3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Applicable law and place of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This Credit Agreement shall be governed by and construed in accordance with substantive Swiss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Subject to mandatory jurisdictions provided by law the exclusive place of jurisdiction for all legal proceedings shall be Zurich or the location of the branch holding the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This shall also be the place of performance, and the place of debt collection for the Borrower domiciled abroad.</w:t>
      </w:r>
    </w:p>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75"/>
        <w:gridCol w:w="18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18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 of executions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This Agreement was executed in two original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800" w:right="0" w:hanging="0"/>
        <w:jc w:val="left"/>
        <w:rPr/>
      </w:pPr>
      <w:r>
        <w:rPr/>
        <w:drawing>
          <wp:inline distT="0" distB="0" distL="0" distR="0">
            <wp:extent cx="5057775" cy="2743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62"/>
                    <a:stretch>
                      <a:fillRect/>
                    </a:stretch>
                  </pic:blipFill>
                  <pic:spPr bwMode="auto">
                    <a:xfrm>
                      <a:off x="0" y="0"/>
                      <a:ext cx="5057775" cy="2743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internal bank use only</w:t>
      </w:r>
      <w:r>
        <w:rPr>
          <w:rFonts w:ascii="Times New Roman" w:hAnsi="Times New Roman"/>
          <w:caps w:val="false"/>
          <w:smallCaps w:val="false"/>
          <w:sz w:val="20"/>
        </w:rPr>
        <w:t>                   Signature(s) verified/Signed in my presence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32"/>
        </w:rPr>
      </w:pPr>
      <w:r>
        <w:rPr>
          <w:rFonts w:ascii="Times New Roman" w:hAnsi="Times New Roman"/>
          <w:caps w:val="false"/>
          <w:smallCaps w:val="false"/>
          <w:sz w:val="32"/>
        </w:rPr>
        <w:t>Information on overnight rates and compounded overnight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b/>
          <w:caps w:val="false"/>
          <w:smallCaps w:val="false"/>
          <w:sz w:val="20"/>
        </w:rPr>
      </w:pPr>
      <w:r>
        <w:rPr>
          <w:rFonts w:ascii="Times New Roman" w:hAnsi="Times New Roman"/>
          <w:b/>
          <w:caps w:val="false"/>
          <w:smallCaps w:val="false"/>
          <w:sz w:val="20"/>
        </w:rPr>
        <w:t>What are overnight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Each of the five currency zones CHF, EUR, USD, GBP and JPY have determined their own overnight rate that is suitable in the lending business for being used as a reference interest rate. The following table provides a short overview:</w:t>
      </w:r>
    </w:p>
    <w:p>
      <w:pPr>
        <w:pStyle w:val="TextBody"/>
        <w:bidi w:val="0"/>
        <w:spacing w:before="0" w:after="0"/>
        <w:ind w:left="0" w:right="0" w:hanging="0"/>
        <w:jc w:val="left"/>
        <w:rPr>
          <w:caps w:val="false"/>
          <w:smallCaps w:val="false"/>
        </w:rPr>
      </w:pPr>
      <w:r>
        <w:rPr>
          <w:caps w:val="false"/>
          <w:smallCaps w:val="false"/>
        </w:rPr>
        <w:t> </w:t>
      </w:r>
    </w:p>
    <w:tbl>
      <w:tblPr>
        <w:tblW w:w="5175" w:type="dxa"/>
        <w:jc w:val="left"/>
        <w:tblInd w:w="-7" w:type="dxa"/>
        <w:tblLayout w:type="fixed"/>
        <w:tblCellMar>
          <w:top w:w="28" w:type="dxa"/>
          <w:left w:w="28" w:type="dxa"/>
          <w:bottom w:w="28" w:type="dxa"/>
          <w:right w:w="28" w:type="dxa"/>
        </w:tblCellMar>
      </w:tblPr>
      <w:tblGrid>
        <w:gridCol w:w="905"/>
        <w:gridCol w:w="1340"/>
        <w:gridCol w:w="2930"/>
      </w:tblGrid>
      <w:tr>
        <w:trPr/>
        <w:tc>
          <w:tcPr>
            <w:tcW w:w="9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Currency</w:t>
            </w:r>
          </w:p>
        </w:tc>
        <w:tc>
          <w:tcPr>
            <w:tcW w:w="134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Overnight rate</w:t>
            </w:r>
          </w:p>
        </w:tc>
        <w:tc>
          <w:tcPr>
            <w:tcW w:w="29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Administration</w:t>
            </w:r>
          </w:p>
        </w:tc>
      </w:tr>
      <w:tr>
        <w:trPr/>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CHF</w:t>
            </w:r>
          </w:p>
        </w:tc>
        <w:tc>
          <w:tcPr>
            <w:tcW w:w="13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SARON</w:t>
            </w:r>
          </w:p>
        </w:tc>
        <w:tc>
          <w:tcPr>
            <w:tcW w:w="29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SIX Swiss Exchange</w:t>
            </w:r>
          </w:p>
        </w:tc>
      </w:tr>
      <w:tr>
        <w:trPr/>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EUR</w:t>
            </w:r>
          </w:p>
        </w:tc>
        <w:tc>
          <w:tcPr>
            <w:tcW w:w="13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STR</w:t>
            </w:r>
          </w:p>
        </w:tc>
        <w:tc>
          <w:tcPr>
            <w:tcW w:w="29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European Central Bank</w:t>
            </w:r>
          </w:p>
        </w:tc>
      </w:tr>
      <w:tr>
        <w:trPr/>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USD</w:t>
            </w:r>
          </w:p>
        </w:tc>
        <w:tc>
          <w:tcPr>
            <w:tcW w:w="13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SOFR</w:t>
            </w:r>
          </w:p>
        </w:tc>
        <w:tc>
          <w:tcPr>
            <w:tcW w:w="29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Federal Reserve Bank of New York</w:t>
            </w:r>
          </w:p>
        </w:tc>
      </w:tr>
      <w:tr>
        <w:trPr/>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GBP</w:t>
            </w:r>
          </w:p>
        </w:tc>
        <w:tc>
          <w:tcPr>
            <w:tcW w:w="13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SONIA</w:t>
            </w:r>
          </w:p>
        </w:tc>
        <w:tc>
          <w:tcPr>
            <w:tcW w:w="29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Bank of England</w:t>
            </w:r>
          </w:p>
        </w:tc>
      </w:tr>
      <w:tr>
        <w:trPr/>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JPY</w:t>
            </w:r>
          </w:p>
        </w:tc>
        <w:tc>
          <w:tcPr>
            <w:tcW w:w="13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TONA</w:t>
            </w:r>
          </w:p>
        </w:tc>
        <w:tc>
          <w:tcPr>
            <w:tcW w:w="29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Bank of Japan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SARON (Swiss Average Rate Overnight) is calculated as a volume-weighted average rate based on completed transactions and binding buy and sell prices on the Swiss money market. The calculation method has been defined by SIX Group SA (SIX) in collaboration with the Swiss National Bank (SNB). The SARON is publicly accessible, transparent and meets the requirements of international benchmark standards. It is set and published immediately after the close of business (18:00 hours Central European Time) by SIX, which operates the infrastructure for the Swiss financial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Furthermore, since the introduction of the SNB base rate, the SARON has also been subject to the monetary policy of the SNB. As the SARON is the most meaningful, short-term money market interest rate in Switzerland today, the SNB explicitly aims to keep it close to its own prime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administrators use similar principles for the currencies EUR, USD, GBP and JPY. In particular it was emphasized that overnight rates in a liquid market would be determined by transparent criteria. In contrast to the CHF, the base interest rates are not published until the following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If no overnight rate is determined on a bank working day for the functional currency, the applicable overnight rate is the overnight rate from the preceding bank working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b/>
          <w:caps w:val="false"/>
          <w:smallCaps w:val="false"/>
          <w:sz w:val="20"/>
        </w:rPr>
      </w:pPr>
      <w:r>
        <w:rPr>
          <w:rFonts w:ascii="Times New Roman" w:hAnsi="Times New Roman"/>
          <w:b/>
          <w:caps w:val="false"/>
          <w:smallCaps w:val="false"/>
          <w:sz w:val="20"/>
        </w:rPr>
        <w:t>What are compounding overnight rates, and how are they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authoritative base interest rate for the UBS Floating Rate Loan is the compounded overnight rate in the appropriate currency. The authoritative base interest rate is calculated by the formula and methodology set by the administrator of that reference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Compounded SARON is an interest rate set and published daily by SIX for various interest periods. The amount of interest that must be paid for the UBS Floating Rate Loan is calculated by compounding the SARON overnight rates applicable in the chosen interest period¹. Thus, the Compounded SARON reflects the realized interest level in the past interest period. The Compounded SARON is, therefore, a retrospective reference interest rate which is made known one banking day before the end of the interest period (at 6:00 p.m. Central European Time). The Compounded SARON can be found and checked at any time on the SIX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If a calculation day during the interest period falls on a Saturday, Sunday or other officially recognized holiday, the overnight rate applicable on the directly preceding local bank working day is used to calculate the compounded interest rate in the appropriate currency according to the formula published by the appropriate benchmark administrator.</w:t>
      </w:r>
    </w:p>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¹ </w:t>
      </w:r>
      <w:r>
        <w:rPr>
          <w:rFonts w:ascii="Times New Roman" w:hAnsi="Times New Roman"/>
          <w:caps w:val="false"/>
          <w:smallCaps w:val="false"/>
          <w:sz w:val="16"/>
        </w:rPr>
        <w:t>SIX Group Ltd always rounds the Compounded SARON up to four decimal places. UBS uses compounded rates rounded to four decimal places for all currencies.</w:t>
      </w:r>
    </w:p>
    <w:p>
      <w:pPr>
        <w:pStyle w:val="TextBody"/>
        <w:bidi w:val="0"/>
        <w:spacing w:before="0" w:after="0"/>
        <w:ind w:left="90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drawing>
          <wp:inline distT="0" distB="0" distL="0" distR="0">
            <wp:extent cx="1247775" cy="504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63"/>
                    <a:stretch>
                      <a:fillRect/>
                    </a:stretch>
                  </pic:blipFill>
                  <pic:spPr bwMode="auto">
                    <a:xfrm>
                      <a:off x="0" y="0"/>
                      <a:ext cx="124777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Overnight rates are also compounded in the currencies EUR, USD, GBP and JPY. Since the overnight rates are not published until the following trading day, what is known as a look back period of two local bank working days is applied. This means that the interest rate from two local bank working days in the past is used. For example on Monday the overnight rate from the past Thursday is included in the calculation, on Tuesday the interest rate from the past Friday is included in the calculation and on Wednesday the overnight rate from the past Monday is included in the calculation.</w:t>
      </w:r>
    </w:p>
    <w:p>
      <w:pPr>
        <w:pStyle w:val="TextBody"/>
        <w:bidi w:val="0"/>
        <w:spacing w:before="0" w:after="0"/>
        <w:ind w:left="1140" w:right="0" w:hanging="0"/>
        <w:jc w:val="both"/>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drawing>
          <wp:inline distT="0" distB="0" distL="0" distR="0">
            <wp:extent cx="5476875" cy="2628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64"/>
                    <a:stretch>
                      <a:fillRect/>
                    </a:stretch>
                  </pic:blipFill>
                  <pic:spPr bwMode="auto">
                    <a:xfrm>
                      <a:off x="0" y="0"/>
                      <a:ext cx="5476875" cy="2628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left"/>
        <w:rPr>
          <w:rFonts w:ascii="Times New Roman" w:hAnsi="Times New Roman"/>
          <w:b/>
          <w:caps w:val="false"/>
          <w:smallCaps w:val="false"/>
          <w:sz w:val="20"/>
        </w:rPr>
      </w:pPr>
      <w:r>
        <w:rPr>
          <w:rFonts w:ascii="Times New Roman" w:hAnsi="Times New Roman"/>
          <w:b/>
          <w:caps w:val="false"/>
          <w:smallCaps w:val="false"/>
          <w:sz w:val="20"/>
        </w:rPr>
        <w:t>Where do I find information on compounded overnight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Information about the Compounded SARON and how the Compounded SARON is calculated can be found on the SIX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Information on the overnight rates and the calculation methods in the other currency zones can be found on the webpages of the appropriate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As the links to the administrators or their contents may alter at any time, for easier reference you will find the above-mentioned information and the current version of the documents under the following link: ubs.com/floating-rate-loan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580" w:type="dxa"/>
        <w:jc w:val="left"/>
        <w:tblInd w:w="0" w:type="dxa"/>
        <w:tblLayout w:type="fixed"/>
        <w:tblCellMar>
          <w:top w:w="0" w:type="dxa"/>
          <w:left w:w="0" w:type="dxa"/>
          <w:bottom w:w="0" w:type="dxa"/>
          <w:right w:w="0" w:type="dxa"/>
        </w:tblCellMar>
      </w:tblPr>
      <w:tblGrid>
        <w:gridCol w:w="1980"/>
        <w:gridCol w:w="2600"/>
      </w:tblGrid>
      <w:tr>
        <w:trPr/>
        <w:tc>
          <w:tcPr>
            <w:tcW w:w="1980"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65"/>
                          <a:stretch>
                            <a:fillRect/>
                          </a:stretch>
                        </pic:blipFill>
                        <pic:spPr bwMode="auto">
                          <a:xfrm>
                            <a:off x="0" y="0"/>
                            <a:ext cx="1247775" cy="504825"/>
                          </a:xfrm>
                          <a:prstGeom prst="rect">
                            <a:avLst/>
                          </a:prstGeom>
                        </pic:spPr>
                      </pic:pic>
                    </a:graphicData>
                  </a:graphic>
                </wp:inline>
              </w:drawing>
            </w:r>
          </w:p>
        </w:tc>
        <w:tc>
          <w:tcPr>
            <w:tcW w:w="260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Banking relationship</w:t>
              <w:br/>
              <w:t>0247 00554949</w:t>
            </w:r>
          </w:p>
        </w:tc>
      </w:tr>
      <w:tr>
        <w:trPr/>
        <w:tc>
          <w:tcPr>
            <w:tcW w:w="1980" w:type="dxa"/>
            <w:vMerge w:val="continue"/>
            <w:tcBorders/>
            <w:vAlign w:val="center"/>
          </w:tcPr>
          <w:p>
            <w:pPr>
              <w:pStyle w:val="Normal"/>
              <w:bidi w:val="0"/>
              <w:jc w:val="left"/>
              <w:rPr/>
            </w:pPr>
            <w:r>
              <w:rPr/>
            </w:r>
          </w:p>
        </w:tc>
        <w:tc>
          <w:tcPr>
            <w:tcW w:w="2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internal bank use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Global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Contracting parties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NAIE Natural Alternatives International Europe SA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Via Cantonale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6928 Manno</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(hereinafter the Assignor¹)</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1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Assignor herewith irrevocably assigns unto UBS Switzerland AG (hereinafter UBS), all existing and future claims from his business, including any preferential and accessory rights (such as guaranties, pledged rights, rights of retention, claims due to reservation of ownership, rights to the surrendering of goods, rights which have been transferred in trust, insurance claims etc.) (hereinafter Claims). Furthermore, all current, forfeited and future interest is assigned. The assignment includes any credit balances on accounts held with third party banks or postal accounts, resulting from the payment of Claims.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1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the Global Assignment, UBS shall obtain all rights of the Assignor towards the assignment debtors. UBS will thereby particularly be entitled (a) to give notice on any Claims, (b) to require payment of any interest and principal in so far as such is due, as well as (c) setting-off any paid amounts with claims that it has or will have against the Assignor, without regard to whether or not such claims are due, as well as keeping such claims in trust and (d) granting respite for the Claims at its own discretion. In so far as the Assignor’s rights are connected to the obligation as such, UBS shall be expressly empowered but not obliged to exercise these rights in its own name. This empowerment shall not be revoked with the Assignor’s death or where one of the events set out in article 35 of the Swiss Code of Obligations should occur.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The Assignor undertakes to present to UBS any existing instruments of indebtedness, as well as - immediately upon request - all other documents, as well as providing all information necessary in order for UBS to exercise its rights under this Assignment. In addition, UBS may inspect his account books at any time, in order to evaluate the status of the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Furthermore, the Assignor undertakes, unconfirmed and with reference to this Global Assignment, to inform UBS </w:t>
      </w:r>
      <w:r>
        <w:rPr>
          <w:rFonts w:ascii="Times New Roman" w:hAnsi="Times New Roman"/>
          <w:b/>
          <w:caps w:val="false"/>
          <w:smallCaps w:val="false"/>
          <w:sz w:val="20"/>
        </w:rPr>
        <w:t>by the latest the 15th day of each month as to the balance of his claims</w:t>
      </w:r>
      <w:r>
        <w:rPr>
          <w:rFonts w:ascii="Times New Roman" w:hAnsi="Times New Roman"/>
          <w:caps w:val="false"/>
          <w:smallCaps w:val="false"/>
          <w:sz w:val="20"/>
        </w:rPr>
        <w:t xml:space="preserve">, valid as per the end of the preceding month, as well as attaching to said balance, </w:t>
      </w:r>
      <w:r>
        <w:rPr>
          <w:rFonts w:ascii="Times New Roman" w:hAnsi="Times New Roman"/>
          <w:b/>
          <w:caps w:val="false"/>
          <w:smallCaps w:val="false"/>
          <w:sz w:val="20"/>
        </w:rPr>
        <w:t>every three months</w:t>
      </w:r>
      <w:r>
        <w:rPr>
          <w:rFonts w:ascii="Times New Roman" w:hAnsi="Times New Roman"/>
          <w:caps w:val="false"/>
          <w:smallCaps w:val="false"/>
          <w:sz w:val="20"/>
        </w:rPr>
        <w:t>, a complete list of all outstanding claims including an indication of the invoice dates, the amounts due, as well as the name and domicile of the assignment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As per June 30, 2025, the claims assigned to UBS were worth a total of 6 374 145.00 CHF.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Claims shall serve UBS as collateral for all present and future claims made by UBS towards the Assignor or his legal heirs or successors in connection with the business relationship. The Global Assignment also covers Claims resulting from compensation for damages, due and current interest, commissions as well as expenses and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They/it shall also serve as security for claims for compensation brought against the Assignor where UBS, as a consequence of the Assignor’s failure to discharge his/her/its obligation to pay Value Added Tax (hereinafter VAT), is obliged to pay the same to the Swiss Federal Tax Administration (hereinafter FTA) or has made such payments to it with effect of discharging its own liability (qv. section 11). Where several guaranteed claims exist, UBS shall decide which of these shall be accredited with the Claims or any proceeds therefrom. Claims assigned to one UBS branch shall also constitute collateral for claims from other UBS branches.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Assignor fully warrants the existence and the enforceability of the Claims. He undertakes to monitor the assignment debtors and to inform UBS when their solvency could put the enforceability of the claims at risk. He also undertakes to immediately inform UBS about Claims that appear in danger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The Assignor hereby confirms that no contractual or statutory prohibitions of assignment exclude or restrict the assignment of Claims (e.g. through the reservation of required consent by the assignment debtor).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9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Assignor hereby renounces his right to object to UBS liquidating the Claims before initiating enforcement proceedings leading to the seizure of assets or bankruptcy proceedings.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6.</w:t>
            </w:r>
          </w:p>
        </w:tc>
        <w:tc>
          <w:tcPr>
            <w:tcW w:w="1001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Assignor shall ensure, by taking suitable measures, e.g. providing indication on his invoices, by referring to the existing UBS banking relationship, or by enclosing UBS postal payment slips, that any payments for the Claims are made to his UBS account. The Assignor shall immediately pass on to UBS payments made directly to himself or to a third party bank or to a postal account. The Assignor furthermore undertakes to inform the assignment debtors, immediately upon UBS’ first request, of the Global Assignment. Furthermore, UBS may also inform the assignment debtors at any given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580" w:type="dxa"/>
        <w:jc w:val="left"/>
        <w:tblInd w:w="0" w:type="dxa"/>
        <w:tblLayout w:type="fixed"/>
        <w:tblCellMar>
          <w:top w:w="0" w:type="dxa"/>
          <w:left w:w="0" w:type="dxa"/>
          <w:bottom w:w="0" w:type="dxa"/>
          <w:right w:w="0" w:type="dxa"/>
        </w:tblCellMar>
      </w:tblPr>
      <w:tblGrid>
        <w:gridCol w:w="1980"/>
        <w:gridCol w:w="2600"/>
      </w:tblGrid>
      <w:tr>
        <w:trPr/>
        <w:tc>
          <w:tcPr>
            <w:tcW w:w="1980"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66"/>
                          <a:stretch>
                            <a:fillRect/>
                          </a:stretch>
                        </pic:blipFill>
                        <pic:spPr bwMode="auto">
                          <a:xfrm>
                            <a:off x="0" y="0"/>
                            <a:ext cx="1247775" cy="504825"/>
                          </a:xfrm>
                          <a:prstGeom prst="rect">
                            <a:avLst/>
                          </a:prstGeom>
                        </pic:spPr>
                      </pic:pic>
                    </a:graphicData>
                  </a:graphic>
                </wp:inline>
              </w:drawing>
            </w:r>
          </w:p>
        </w:tc>
        <w:tc>
          <w:tcPr>
            <w:tcW w:w="260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Banking relationship</w:t>
              <w:br/>
              <w:t>0247 00554949</w:t>
            </w:r>
          </w:p>
        </w:tc>
      </w:tr>
      <w:tr>
        <w:trPr/>
        <w:tc>
          <w:tcPr>
            <w:tcW w:w="1980" w:type="dxa"/>
            <w:vMerge w:val="continue"/>
            <w:tcBorders/>
            <w:vAlign w:val="center"/>
          </w:tcPr>
          <w:p>
            <w:pPr>
              <w:pStyle w:val="Normal"/>
              <w:bidi w:val="0"/>
              <w:jc w:val="left"/>
              <w:rPr/>
            </w:pPr>
            <w:r>
              <w:rPr/>
            </w:r>
          </w:p>
        </w:tc>
        <w:tc>
          <w:tcPr>
            <w:tcW w:w="2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internal bank use only)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7.</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Assignor is not permitted to have other banks provide discounts or advances where he receives a bill of exchange. The said bill of exchange must be endorsed to UBS’ order and submitted, in accordance with UBS’ instructions.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8.</w:t>
            </w:r>
          </w:p>
        </w:tc>
        <w:tc>
          <w:tcPr>
            <w:tcW w:w="100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Where in UBS’ opinion a reduction in value of the Claims should occur or be in danger of occurring (e.g. due to a deterioration in the economic situation of the assignment debtors, due to currency fluctuations etc.), or where for other reasons UBS considers the Claims as no longer offering sufficient collateral, the Assignor undertakes to immediately either improve such collateral according to UBS’s requirements or to make down payments as defined by UBS.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w:t>
            </w:r>
          </w:p>
        </w:tc>
        <w:tc>
          <w:tcPr>
            <w:tcW w:w="100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Assignor hereby confirms, he is solely entitled to the Claims and there are no other assignments besides this Global Assignment. The Assignor also warrants that he shall not make such assignments to third parties for as long as this Global Assignment exists. The Assignor is committing a crime if he assign a claim more than once, or fails to pass on to UBS payments made directly to himself, to third party banks or postal accounts.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1"/>
        <w:gridCol w:w="9904"/>
      </w:tblGrid>
      <w:tr>
        <w:trPr/>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w:t>
            </w:r>
          </w:p>
        </w:tc>
        <w:tc>
          <w:tcPr>
            <w:tcW w:w="99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Assignor undertakes to discharge his/her/its VAT obligations in connection with the Claims, in particular to pay in full and on time the tax claim, and to prove to UBS, on its request, that this has been done. The Assignor further authorizes UBS to obtain this information directly from the FTA and, for this purpose, frees UBS from its obligations under Swiss banking secrecy laws and the FTA from its obligations of official confidentiality.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The Assignor undertakes to inform UBS immediately in the event of an application for opening of bankruptcy proceedings or moratorium, opening of proceedings for seizure or realization of assets being brought against him/her/it or of the Assignor being, or expected to become, for other reasons, no longer able to discharge his/her/its VAT obligations in connection with the Claims.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7"/>
        <w:gridCol w:w="9898"/>
      </w:tblGrid>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11.</w:t>
            </w:r>
          </w:p>
        </w:tc>
        <w:tc>
          <w:tcPr>
            <w:tcW w:w="989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UBS has the right to pay the VAT transferred and collected with the Claim(s) to the FTA at any time and thereby discharge its liability. UBS shall be indemnified by the Assignor for such payments and for payments made as a result of the Assignor’s failure to discharge his/her/its obligation to pay VAT.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For this purpose, UBS may debit an account held by the Assignor. The Assignor shall also make available to UBS the documentation required for the purpose of verifying the amount of liability.</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275"/>
        <w:gridCol w:w="45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45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Transfer of credit claims and banking secrecy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Where UBS chooses to exercise, in part or in full, the right granted to it by the Borrower to transfer credit claims, inclusive of collateral, namely the claims assigned herewith, it shall be permitted to disclose any information and data collected in connection with the present agreement to third parties involved in such transfer, including rating agencies, at any time, and shall be freed from its obligations under Swiss banking secrecy laws, in this regard the same shall apply to any party acquiring such claim and which has the right to reassign the same in whole or in part. Where such assignees are not subject to Swiss banking secrecy laws, such disclosure shall only occur where they undertake to maintain secrecy and require such secrecy from possible further contracting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Where UBS chooses to exercise, in part or in full, the right granted to it by the Borrower to transfer credit claims, then it shall be allowed to pledge all or any of the Claims, to the purchaser as collateral for the transferred credit claims or to also grant other security rights to the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Where UBS additionally makes use of the right granted to it by the Borrower to transfer limit obligations and/or other obligations arising from the credit relationship, it may also pledge all or any of the Claims as collateral for securing all future claims resulting from the assumed obligations or may also grant other security rights to the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After the final repayment to the purchaser of the claims guaranteed by the Claims, the Claims again exclusively secure the claims of UBS as per Section 3 hereof. UBS undertakes - to the extent required - that the purchaser retransfers all transferred claims to UBS subsequent to the satisfaction of such claims. UBS is, particularly in the event of a pledge and subject to the consent of the purchaser, authorised to exercise all rights under the present agreement in its own name as well as in the name of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580" w:type="dxa"/>
        <w:jc w:val="left"/>
        <w:tblInd w:w="0" w:type="dxa"/>
        <w:tblLayout w:type="fixed"/>
        <w:tblCellMar>
          <w:top w:w="0" w:type="dxa"/>
          <w:left w:w="0" w:type="dxa"/>
          <w:bottom w:w="0" w:type="dxa"/>
          <w:right w:w="0" w:type="dxa"/>
        </w:tblCellMar>
      </w:tblPr>
      <w:tblGrid>
        <w:gridCol w:w="1980"/>
        <w:gridCol w:w="2600"/>
      </w:tblGrid>
      <w:tr>
        <w:trPr/>
        <w:tc>
          <w:tcPr>
            <w:tcW w:w="1980" w:type="dxa"/>
            <w:vMerge w:val="restart"/>
            <w:tcBorders/>
            <w:vAlign w:val="center"/>
          </w:tcPr>
          <w:p>
            <w:pPr>
              <w:pStyle w:val="TableContents"/>
              <w:bidi w:val="0"/>
              <w:spacing w:before="0" w:after="0"/>
              <w:jc w:val="left"/>
              <w:rPr/>
            </w:pPr>
            <w:r>
              <w:rPr/>
              <w:drawing>
                <wp:inline distT="0" distB="0" distL="0" distR="0">
                  <wp:extent cx="1247775" cy="504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67"/>
                          <a:stretch>
                            <a:fillRect/>
                          </a:stretch>
                        </pic:blipFill>
                        <pic:spPr bwMode="auto">
                          <a:xfrm>
                            <a:off x="0" y="0"/>
                            <a:ext cx="1247775" cy="504825"/>
                          </a:xfrm>
                          <a:prstGeom prst="rect">
                            <a:avLst/>
                          </a:prstGeom>
                        </pic:spPr>
                      </pic:pic>
                    </a:graphicData>
                  </a:graphic>
                </wp:inline>
              </w:drawing>
            </w:r>
          </w:p>
        </w:tc>
        <w:tc>
          <w:tcPr>
            <w:tcW w:w="260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Banking relationship</w:t>
              <w:br/>
              <w:t>0247 00554949</w:t>
            </w:r>
          </w:p>
        </w:tc>
      </w:tr>
      <w:tr>
        <w:trPr/>
        <w:tc>
          <w:tcPr>
            <w:tcW w:w="1980" w:type="dxa"/>
            <w:vMerge w:val="continue"/>
            <w:tcBorders/>
            <w:vAlign w:val="center"/>
          </w:tcPr>
          <w:p>
            <w:pPr>
              <w:pStyle w:val="Normal"/>
              <w:bidi w:val="0"/>
              <w:jc w:val="left"/>
              <w:rPr/>
            </w:pPr>
            <w:r>
              <w:rPr/>
            </w:r>
          </w:p>
        </w:tc>
        <w:tc>
          <w:tcPr>
            <w:tcW w:w="2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internal bank use only)</w:t>
            </w:r>
          </w:p>
        </w:tc>
      </w:tr>
    </w:tbl>
    <w:p>
      <w:pPr>
        <w:pStyle w:val="TextBody"/>
        <w:bidi w:val="0"/>
        <w:spacing w:before="0" w:after="0"/>
        <w:ind w:left="1140" w:right="0" w:hanging="0"/>
        <w:jc w:val="both"/>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UBS may, however, also empower the purchaser to independently assert the rights transferred to him with the Claims for the claims of UBS as well as for the credit claims transferred to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UBS exercises the right granted by the Borrower to transfer claims under the credit facility, together with any security provided in respect thereof, in particular the claims hereby assigned, in whole or in part, it shall be entitled to grant all rights hereby granted in connection with use of the claims assigned, which shall be equal in scope to the rights accruing to UBS and such assignee shall be entitled to grant the same to its successors in title.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3"/>
        <w:gridCol w:w="9882"/>
      </w:tblGrid>
      <w:tr>
        <w:trPr/>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13.</w:t>
            </w:r>
          </w:p>
        </w:tc>
        <w:tc>
          <w:tcPr>
            <w:tcW w:w="98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communications to the Assignor shall be deemed to have been duly served, when they have been dispatched to the last known address provided to UBS.</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275"/>
        <w:gridCol w:w="33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c>
        <w:tc>
          <w:tcPr>
            <w:tcW w:w="33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Applicable law and place of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This Global Assignment shall be governed by and construed in accordance with substantive Swiss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Subject to mandatory jurisdictions provided by law the exclusive place of jurisdiction for all legal proceedings shall be Zurich or the location of the branch holding the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Times New Roman" w:hAnsi="Times New Roman"/>
          <w:caps w:val="false"/>
          <w:smallCaps w:val="false"/>
          <w:sz w:val="20"/>
        </w:rPr>
      </w:pPr>
      <w:r>
        <w:rPr>
          <w:rFonts w:ascii="Times New Roman" w:hAnsi="Times New Roman"/>
          <w:caps w:val="false"/>
          <w:smallCaps w:val="false"/>
          <w:sz w:val="20"/>
        </w:rPr>
        <w:t>This shall also be the place of performance, and the place of debt collection for the Assignor domiciled abroad.</w:t>
      </w:r>
    </w:p>
    <w:p>
      <w:pPr>
        <w:pStyle w:val="TextBody"/>
        <w:bidi w:val="0"/>
        <w:spacing w:before="0" w:after="0"/>
        <w:ind w:left="114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43600" cy="1009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68"/>
                    <a:stretch>
                      <a:fillRect/>
                    </a:stretch>
                  </pic:blipFill>
                  <pic:spPr bwMode="auto">
                    <a:xfrm>
                      <a:off x="0" y="0"/>
                      <a:ext cx="5943600" cy="1009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¹ The singular form also includes the plural, and all masculine terms referring to persons refer to persons of both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 w:hAnsi="Times New Roman"/>
          <w:sz w:val="20"/>
        </w:rPr>
      </w:pPr>
      <w:r>
        <w:rPr>
          <w:rFonts w:ascii="Times New Roman" w:hAnsi="Times New Roman"/>
          <w:sz w:val="20"/>
        </w:rPr>
        <w:t>Page 12</w:t>
      </w:r>
    </w:p>
    <w:p>
      <w:pPr>
        <w:pStyle w:val="TextBody"/>
        <w:bidi w:val="0"/>
        <w:spacing w:before="0" w:after="0"/>
        <w:ind w:left="160" w:right="0" w:hanging="0"/>
        <w:jc w:val="center"/>
        <w:rPr>
          <w:rFonts w:ascii="Times New Roman" w:hAnsi="Times New Roman"/>
          <w:b/>
          <w:caps w:val="false"/>
          <w:smallCaps w:val="false"/>
          <w:sz w:val="20"/>
        </w:rPr>
      </w:pPr>
      <w:bookmarkStart w:id="28" w:name="ex_973462.htm"/>
      <w:bookmarkStart w:id="29" w:name="ksex_973462"/>
      <w:bookmarkEnd w:id="28"/>
      <w:bookmarkEnd w:id="29"/>
      <w:r>
        <w:rPr>
          <w:rFonts w:ascii="Times New Roman" w:hAnsi="Times New Roman"/>
          <w:b/>
          <w:caps w:val="false"/>
          <w:smallCaps w:val="false"/>
          <w:sz w:val="20"/>
        </w:rPr>
        <w:t xml:space="preserve">Exhibit 21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List of Subsidiaries of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Natural Alternatives International, Inc., a Delaware 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28" w:type="dxa"/>
          <w:right w:w="0" w:type="dxa"/>
        </w:tblCellMar>
      </w:tblPr>
      <w:tblGrid>
        <w:gridCol w:w="3380"/>
        <w:gridCol w:w="60"/>
        <w:gridCol w:w="2855"/>
      </w:tblGrid>
      <w:tr>
        <w:trPr/>
        <w:tc>
          <w:tcPr>
            <w:tcW w:w="33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Subsidiary</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w:t>
            </w:r>
            <w:r>
              <w:rPr>
                <w:rFonts w:ascii="Times New Roman" w:hAnsi="Times New Roman"/>
                <w:caps w:val="false"/>
                <w:smallCaps w:val="false"/>
                <w:sz w:val="20"/>
              </w:rPr>
              <w:t> </w:t>
            </w:r>
            <w:r>
              <w:rPr>
                <w:rFonts w:ascii="Times New Roman" w:hAnsi="Times New Roman"/>
                <w:b/>
                <w:caps w:val="false"/>
                <w:smallCaps w:val="false"/>
                <w:sz w:val="20"/>
              </w:rPr>
              <w:t>Incorporation</w:t>
            </w:r>
            <w:r>
              <w:rPr>
                <w:rFonts w:ascii="Times New Roman" w:hAnsi="Times New Roman"/>
                <w:caps w:val="false"/>
                <w:smallCaps w:val="false"/>
                <w:sz w:val="20"/>
              </w:rPr>
              <w:t> </w:t>
            </w:r>
            <w:r>
              <w:rPr>
                <w:rFonts w:ascii="Times New Roman" w:hAnsi="Times New Roman"/>
                <w:b/>
                <w:caps w:val="false"/>
                <w:smallCaps w:val="false"/>
                <w:sz w:val="20"/>
              </w:rPr>
              <w:t>or</w:t>
            </w:r>
            <w:r>
              <w:rPr>
                <w:rFonts w:ascii="Times New Roman" w:hAnsi="Times New Roman"/>
                <w:caps w:val="false"/>
                <w:smallCaps w:val="false"/>
                <w:sz w:val="20"/>
              </w:rPr>
              <w:t> </w:t>
            </w:r>
            <w:r>
              <w:rPr>
                <w:rFonts w:ascii="Times New Roman" w:hAnsi="Times New Roman"/>
                <w:b/>
                <w:caps w:val="false"/>
                <w:smallCaps w:val="false"/>
                <w:sz w:val="20"/>
              </w:rPr>
              <w:t>Organization</w:t>
            </w:r>
          </w:p>
        </w:tc>
      </w:tr>
      <w:tr>
        <w:trPr/>
        <w:tc>
          <w:tcPr>
            <w:tcW w:w="3380" w:type="dxa"/>
            <w:tcBorders/>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Europe</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3380" w:type="dxa"/>
            <w:tcBorders/>
            <w:tcMar>
              <w:bottom w:w="0" w:type="dxa"/>
            </w:tcMar>
            <w:vAlign w:val="center"/>
          </w:tcPr>
          <w:p>
            <w:pPr>
              <w:pStyle w:val="TableContents"/>
              <w:bidi w:val="0"/>
              <w:spacing w:before="0" w:after="283"/>
              <w:jc w:val="left"/>
              <w:rPr/>
            </w:pPr>
            <w:r>
              <w:rPr/>
              <w:t>S.A.</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center"/>
              <w:rPr/>
            </w:pPr>
            <w:r>
              <w:rPr/>
              <w:t>Switzerland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0" w:name="ex_973463.htm"/>
      <w:bookmarkStart w:id="31" w:name="ksex_973463"/>
      <w:bookmarkEnd w:id="30"/>
      <w:bookmarkEnd w:id="31"/>
      <w:r>
        <w:rPr>
          <w:rFonts w:ascii="Times New Roman" w:hAnsi="Times New Roman"/>
          <w:b/>
          <w:caps w:val="false"/>
          <w:smallCaps w:val="false"/>
          <w:sz w:val="20"/>
        </w:rPr>
        <w:t xml:space="preserve">EXHIBIT 23.1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CONSENT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Statements on Forms S-8 (Nos. 333-296116 and 333-254014) of Natural Alternatives International, Inc. (the “Company”) of our report dated September 28, 2026, relating to our audits of the Company’s consolidated financial statements as of June 30, 2026 and 2025, and for each of the years then ended, included in the Company’s Annual Report on Form 10-K for the fiscal year ended June 30, 2026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report dated September 28, 2026 contains an explanatory paragraph that states the Company has experienced continued net losses and negative operating cash flow, a forecasted inability to meet financial covenant requirements in its credit facility agreement, and insufficient cash resources to satisfy the liabilities under the credit facility agreement should such be deemed in default and the lender exercises its rights under the agreement. Our report further states that these conditions raise substantial doubt about the Company’s ability to continue as a going concern.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HASKELL &amp; WHITE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Irvine,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2" w:name="ex_973464.htm"/>
      <w:bookmarkStart w:id="33" w:name="ksex_973464"/>
      <w:bookmarkEnd w:id="32"/>
      <w:bookmarkEnd w:id="33"/>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Chief Executive Officer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Rule 13a-14(a)/15d-14(a)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Mark A. LeDoux, Chief Executive Officer of Natural Alternatives International, Inc.,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Natural Alternatives International,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60"/>
        <w:gridCol w:w="3395"/>
      </w:tblGrid>
      <w:tr>
        <w:trPr/>
        <w:tc>
          <w:tcPr>
            <w:tcW w:w="60" w:type="dxa"/>
            <w:tcBorders/>
            <w:vAlign w:val="center"/>
          </w:tcPr>
          <w:p>
            <w:pPr>
              <w:pStyle w:val="TableContents"/>
              <w:bidi w:val="0"/>
              <w:spacing w:before="0" w:after="283"/>
              <w:jc w:val="left"/>
              <w:rPr/>
            </w:pPr>
            <w:r>
              <w:rPr/>
              <w:t> </w:t>
            </w:r>
          </w:p>
        </w:tc>
        <w:tc>
          <w:tcPr>
            <w:tcW w:w="33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A. LeDoux</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4" w:name="ex_973465.htm"/>
      <w:bookmarkStart w:id="35" w:name="ksex_973465"/>
      <w:bookmarkEnd w:id="34"/>
      <w:bookmarkEnd w:id="35"/>
      <w:r>
        <w:rPr>
          <w:rFonts w:ascii="Times New Roman" w:hAnsi="Times New Roman"/>
          <w:b/>
          <w:caps w:val="false"/>
          <w:smallCaps w:val="false"/>
          <w:sz w:val="20"/>
        </w:rPr>
        <w:t xml:space="preserve">Exhibit 31.2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Financial and Accounting Officer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Rule 13a-14(a)/15d-14(a)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Kenneth E. Wolf, as the Principal Financial and Accounting Officer of Natural Alternatives International, Inc.,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Natural Alternatives International,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60"/>
        <w:gridCol w:w="4955"/>
      </w:tblGrid>
      <w:tr>
        <w:trPr/>
        <w:tc>
          <w:tcPr>
            <w:tcW w:w="60" w:type="dxa"/>
            <w:tcBorders/>
            <w:vAlign w:val="center"/>
          </w:tcPr>
          <w:p>
            <w:pPr>
              <w:pStyle w:val="TableContents"/>
              <w:bidi w:val="0"/>
              <w:spacing w:before="0" w:after="283"/>
              <w:jc w:val="left"/>
              <w:rPr/>
            </w:pPr>
            <w:r>
              <w:rPr/>
              <w:t> </w:t>
            </w:r>
          </w:p>
        </w:tc>
        <w:tc>
          <w:tcPr>
            <w:tcW w:w="49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Kenneth E. Wolf</w:t>
            </w:r>
          </w:p>
        </w:tc>
      </w:tr>
      <w:tr>
        <w:trPr/>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Kenneth E. Wolf,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36" w:name="ex_973466.htm"/>
      <w:bookmarkStart w:id="37" w:name="ksex_973466"/>
      <w:bookmarkEnd w:id="36"/>
      <w:bookmarkEnd w:id="37"/>
      <w:r>
        <w:rPr>
          <w:rFonts w:ascii="Times New Roman" w:hAnsi="Times New Roman"/>
          <w:b/>
          <w:caps w:val="false"/>
          <w:smallCaps w:val="false"/>
          <w:sz w:val="20"/>
        </w:rPr>
        <w:t xml:space="preserve">Exhibit 32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(Subsections (a)</w:t>
      </w:r>
      <w:r>
        <w:rPr>
          <w:rFonts w:ascii="Times New Roman" w:hAnsi="Times New Roman"/>
          <w:caps w:val="false"/>
          <w:smallCaps w:val="false"/>
          <w:sz w:val="20"/>
        </w:rPr>
        <w:t> </w:t>
      </w:r>
      <w:r>
        <w:rPr>
          <w:rFonts w:ascii="Times New Roman" w:hAnsi="Times New Roman"/>
          <w:b/>
          <w:caps w:val="false"/>
          <w:smallCaps w:val="false"/>
          <w:sz w:val="20"/>
        </w:rPr>
        <w:t>and (b)</w:t>
      </w:r>
      <w:r>
        <w:rPr>
          <w:rFonts w:ascii="Times New Roman" w:hAnsi="Times New Roman"/>
          <w:caps w:val="false"/>
          <w:smallCaps w:val="false"/>
          <w:sz w:val="20"/>
        </w:rPr>
        <w:t> </w:t>
      </w:r>
      <w:r>
        <w:rPr>
          <w:rFonts w:ascii="Times New Roman" w:hAnsi="Times New Roman"/>
          <w:b/>
          <w:caps w:val="false"/>
          <w:smallCaps w:val="false"/>
          <w:sz w:val="20"/>
        </w:rPr>
        <w:t>of Section</w:t>
      </w:r>
      <w:r>
        <w:rPr>
          <w:rFonts w:ascii="Times New Roman" w:hAnsi="Times New Roman"/>
          <w:caps w:val="false"/>
          <w:smallCaps w:val="false"/>
          <w:sz w:val="20"/>
        </w:rPr>
        <w:t> </w:t>
      </w:r>
      <w:r>
        <w:rPr>
          <w:rFonts w:ascii="Times New Roman" w:hAnsi="Times New Roman"/>
          <w:b/>
          <w:caps w:val="false"/>
          <w:smallCaps w:val="false"/>
          <w:sz w:val="20"/>
        </w:rPr>
        <w:t xml:space="preserve">1350, Chapter 63 of Title 18, United States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(Subsections (a) and (b) of Section 1350, Chapter 63 of Title 18, United States Code), each of the undersigned officers of Natural Alternatives International, Inc., a Delaware corporation, does hereby certify, to such officer’s knowledge, that the Annual Report on Form 10-K for the fiscal year ended </w:t>
      </w:r>
      <w:bookmarkStart w:id="38" w:name="led433856F20236211689976576811"/>
      <w:bookmarkEnd w:id="38"/>
      <w:r>
        <w:rPr>
          <w:rFonts w:ascii="Times New Roman" w:hAnsi="Times New Roman"/>
          <w:caps w:val="false"/>
          <w:smallCaps w:val="false"/>
          <w:sz w:val="20"/>
        </w:rPr>
        <w:t>June 30, 2026 of Natural Alternatives International, Inc. fully complies with the requirements of Section 13(a) or 15(d) of the Securities Exchange Act of 1934 (15 U.S.C. 78m or 78o(d)) and that information contained in such report fairly presents, in all material respects, the financial condition and results of operations of Natural Alternatives International,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6"/>
        <w:gridCol w:w="7809"/>
      </w:tblGrid>
      <w:tr>
        <w:trPr/>
        <w:tc>
          <w:tcPr>
            <w:tcW w:w="23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28, 2026</w:t>
            </w:r>
          </w:p>
        </w:tc>
        <w:tc>
          <w:tcPr>
            <w:tcW w:w="78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A. LeDoux</w:t>
            </w:r>
          </w:p>
        </w:tc>
      </w:tr>
      <w:tr>
        <w:trPr/>
        <w:tc>
          <w:tcPr>
            <w:tcW w:w="2396" w:type="dxa"/>
            <w:tcBorders/>
            <w:vAlign w:val="center"/>
          </w:tcPr>
          <w:p>
            <w:pPr>
              <w:pStyle w:val="TableContents"/>
              <w:bidi w:val="0"/>
              <w:spacing w:before="0" w:after="283"/>
              <w:jc w:val="left"/>
              <w:rPr/>
            </w:pPr>
            <w:r>
              <w:rPr/>
              <w:t> </w:t>
            </w:r>
          </w:p>
        </w:tc>
        <w:tc>
          <w:tcPr>
            <w:tcW w:w="78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r>
      <w:tr>
        <w:trPr/>
        <w:tc>
          <w:tcPr>
            <w:tcW w:w="2396" w:type="dxa"/>
            <w:tcBorders/>
            <w:vAlign w:val="center"/>
          </w:tcPr>
          <w:p>
            <w:pPr>
              <w:pStyle w:val="TableContents"/>
              <w:bidi w:val="0"/>
              <w:spacing w:before="0" w:after="283"/>
              <w:jc w:val="left"/>
              <w:rPr/>
            </w:pPr>
            <w:r>
              <w:rPr/>
              <w:t> </w:t>
            </w:r>
          </w:p>
        </w:tc>
        <w:tc>
          <w:tcPr>
            <w:tcW w:w="7809" w:type="dxa"/>
            <w:tcBorders/>
            <w:vAlign w:val="center"/>
          </w:tcPr>
          <w:p>
            <w:pPr>
              <w:pStyle w:val="TableContents"/>
              <w:bidi w:val="0"/>
              <w:spacing w:before="0" w:after="283"/>
              <w:jc w:val="left"/>
              <w:rPr/>
            </w:pPr>
            <w:r>
              <w:rPr/>
              <w:t> </w:t>
            </w:r>
          </w:p>
        </w:tc>
      </w:tr>
      <w:tr>
        <w:trPr/>
        <w:tc>
          <w:tcPr>
            <w:tcW w:w="2396" w:type="dxa"/>
            <w:tcBorders/>
            <w:vAlign w:val="center"/>
          </w:tcPr>
          <w:p>
            <w:pPr>
              <w:pStyle w:val="TableContents"/>
              <w:bidi w:val="0"/>
              <w:spacing w:before="0" w:after="283"/>
              <w:jc w:val="left"/>
              <w:rPr/>
            </w:pPr>
            <w:r>
              <w:rPr/>
              <w:t>Date: September 28, 2026</w:t>
            </w:r>
          </w:p>
        </w:tc>
        <w:tc>
          <w:tcPr>
            <w:tcW w:w="78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Kenneth E. Wolf</w:t>
            </w:r>
          </w:p>
        </w:tc>
      </w:tr>
      <w:tr>
        <w:trPr/>
        <w:tc>
          <w:tcPr>
            <w:tcW w:w="2396" w:type="dxa"/>
            <w:tcBorders/>
            <w:vAlign w:val="center"/>
          </w:tcPr>
          <w:p>
            <w:pPr>
              <w:pStyle w:val="TableContents"/>
              <w:bidi w:val="0"/>
              <w:spacing w:before="0" w:after="283"/>
              <w:jc w:val="left"/>
              <w:rPr/>
            </w:pPr>
            <w:r>
              <w:rPr/>
              <w:t> </w:t>
            </w:r>
          </w:p>
        </w:tc>
        <w:tc>
          <w:tcPr>
            <w:tcW w:w="78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Kenneth E. Wolf, President, Chief Operating Officer, and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foregoing certification is furnished solely pursuant to Section 906 of the Sarbanes-Oxley Act of 2002 (Subsections (a) and (b) of Section 1350, Chapter 63 of Title 18, United States Code) and is not being filed as part of the Form 10-K or as a separate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87253/000119312505029203/dex3i.htm" TargetMode="External"/><Relationship Id="rId3" Type="http://schemas.openxmlformats.org/officeDocument/2006/relationships/hyperlink" Target="http://www.sec.gov/Archives/edgar/data/787253/000119312509029259/dex3ii.htm" TargetMode="External"/><Relationship Id="rId4" Type="http://schemas.openxmlformats.org/officeDocument/2006/relationships/hyperlink" Target="http://www.sec.gov/Archives/edgar/data/787253/000119312505182282/dex4i.htm" TargetMode="External"/><Relationship Id="rId5" Type="http://schemas.openxmlformats.org/officeDocument/2006/relationships/hyperlink" Target="http://www.sec.gov/Archives/edgar/data/787253/000119312503073501/dex1010.htm" TargetMode="External"/><Relationship Id="rId6" Type="http://schemas.openxmlformats.org/officeDocument/2006/relationships/hyperlink" Target="http://www.sec.gov/Archives/edgar/data/787253/000119312504156242/dex1015.htm" TargetMode="External"/><Relationship Id="rId7" Type="http://schemas.openxmlformats.org/officeDocument/2006/relationships/hyperlink" Target="http://www.sec.gov/Archives/edgar/data/787253/000119312509208654/ddef14a.htm" TargetMode="External"/><Relationship Id="rId8" Type="http://schemas.openxmlformats.org/officeDocument/2006/relationships/hyperlink" Target="http://www.sec.gov/Archives/edgar/data/787253/000143774920015500/ex_194649.htm" TargetMode="External"/><Relationship Id="rId9" Type="http://schemas.openxmlformats.org/officeDocument/2006/relationships/hyperlink" Target="http://www.sec.gov/Archives/edgar/data/787253/000119312510258872/dex1040.htm" TargetMode="External"/><Relationship Id="rId10" Type="http://schemas.openxmlformats.org/officeDocument/2006/relationships/hyperlink" Target="http://www.sec.gov/Archives/edgar/data/787253/000119312511141499/dex1031.htm" TargetMode="External"/><Relationship Id="rId11" Type="http://schemas.openxmlformats.org/officeDocument/2006/relationships/hyperlink" Target="http://www.sec.gov/Archives/edgar/data/787253/000119312513371742/d559767dex1040.htm" TargetMode="External"/><Relationship Id="rId12" Type="http://schemas.openxmlformats.org/officeDocument/2006/relationships/hyperlink" Target="http://www.sec.gov/Archives/edgar/data/787253/000143774914017442/ex10-38.htm" TargetMode="External"/><Relationship Id="rId13" Type="http://schemas.openxmlformats.org/officeDocument/2006/relationships/hyperlink" Target="http://www.sec.gov/Archives/edgar/data/787253/000143774915017924/ex10-1.htm" TargetMode="External"/><Relationship Id="rId14" Type="http://schemas.openxmlformats.org/officeDocument/2006/relationships/hyperlink" Target="http://www.sec.gov/Archives/edgar/data/787253/000143774915017924/ex10-2.htm" TargetMode="External"/><Relationship Id="rId15" Type="http://schemas.openxmlformats.org/officeDocument/2006/relationships/hyperlink" Target="http://www.sec.gov/Archives/edgar/data/787253/000143774915020636/ex10-03.htm" TargetMode="External"/><Relationship Id="rId16" Type="http://schemas.openxmlformats.org/officeDocument/2006/relationships/hyperlink" Target="http://www.sec.gov/Archives/edgar/data/787253/000143774916025033/ex10-01.htm" TargetMode="External"/><Relationship Id="rId17" Type="http://schemas.openxmlformats.org/officeDocument/2006/relationships/hyperlink" Target="http://www.sec.gov/Archives/edgar/data/787253/000143774916038322/naii20160903_8k.htm" TargetMode="External"/><Relationship Id="rId18" Type="http://schemas.openxmlformats.org/officeDocument/2006/relationships/hyperlink" Target="http://www.sec.gov/Archives/edgar/data/787253/000143774918020576/ex_126961.htm" TargetMode="External"/><Relationship Id="rId19" Type="http://schemas.openxmlformats.org/officeDocument/2006/relationships/hyperlink" Target="http://www.sec.gov/Archives/edgar/data/787253/000143774918020576/ex_126962.htm" TargetMode="External"/><Relationship Id="rId20" Type="http://schemas.openxmlformats.org/officeDocument/2006/relationships/hyperlink" Target="http://www.sec.gov/Archives/edgar/data/787253/000143774918020576/ex_126969.htm" TargetMode="External"/><Relationship Id="rId21" Type="http://schemas.openxmlformats.org/officeDocument/2006/relationships/hyperlink" Target="http://www.sec.gov/Archives/edgar/data/787253/000143774918020576/ex_126970.htm" TargetMode="External"/><Relationship Id="rId22" Type="http://schemas.openxmlformats.org/officeDocument/2006/relationships/hyperlink" Target="http://www.sec.gov/Archives/edgar/data/787253/000143774918020576/ex_126960.htm" TargetMode="External"/><Relationship Id="rId23" Type="http://schemas.openxmlformats.org/officeDocument/2006/relationships/hyperlink" Target="http://www.sec.gov/Archives/edgar/data/787253/000143774918020576/ex_128797.htm" TargetMode="External"/><Relationship Id="rId24" Type="http://schemas.openxmlformats.org/officeDocument/2006/relationships/hyperlink" Target="http://www.sec.gov/Archives/edgar/data/787253/000143774919006621/ex_140030.htm" TargetMode="External"/><Relationship Id="rId25" Type="http://schemas.openxmlformats.org/officeDocument/2006/relationships/hyperlink" Target="http://www.sec.gov/Archives/edgar/data/787253/000143774919018974/ex_158033.htm" TargetMode="External"/><Relationship Id="rId26" Type="http://schemas.openxmlformats.org/officeDocument/2006/relationships/hyperlink" Target="http://www.sec.gov/Archives/edgar/data/787253/000143774921016717/ex_262609.htm" TargetMode="External"/><Relationship Id="rId27" Type="http://schemas.openxmlformats.org/officeDocument/2006/relationships/hyperlink" Target="http://www.sec.gov/Archives/edgar/data/787253/000143774921016717/ex_262610.htm" TargetMode="External"/><Relationship Id="rId28" Type="http://schemas.openxmlformats.org/officeDocument/2006/relationships/hyperlink" Target="http://www.sec.gov/Archives/edgar/data/787253/000143774921016717/ex_262611.htm" TargetMode="External"/><Relationship Id="rId29" Type="http://schemas.openxmlformats.org/officeDocument/2006/relationships/hyperlink" Target="http://www.sec.gov/Archives/edgar/data/787253/000143774921013564/ex_253564.htm" TargetMode="External"/><Relationship Id="rId30" Type="http://schemas.openxmlformats.org/officeDocument/2006/relationships/hyperlink" Target="http://www.sec.gov/Archives/edgar/data/787253/000143774920021645/naii20201021_def14a.htm" TargetMode="External"/><Relationship Id="rId31" Type="http://schemas.openxmlformats.org/officeDocument/2006/relationships/hyperlink" Target="http://www.sec.gov/Archives/edgar/data/787253/000143774921020786/ex_278321.htm" TargetMode="External"/><Relationship Id="rId32" Type="http://schemas.openxmlformats.org/officeDocument/2006/relationships/hyperlink" Target="http://www.sec.gov/Archives/edgar/data/787253/000143774921020786/ex_278322.htm" TargetMode="External"/><Relationship Id="rId33" Type="http://schemas.openxmlformats.org/officeDocument/2006/relationships/hyperlink" Target="http://www.sec.gov/Archives/edgar/data/787253/000143774921020786/ex_278323.htm" TargetMode="External"/><Relationship Id="rId34" Type="http://schemas.openxmlformats.org/officeDocument/2006/relationships/hyperlink" Target="http://www.sec.gov/Archives/edgar/data/787253/000143774921020786/ex_278324.htm" TargetMode="External"/><Relationship Id="rId35" Type="http://schemas.openxmlformats.org/officeDocument/2006/relationships/hyperlink" Target="http://www.sec.gov/Archives/edgar/data/787253/000143774922002872/ex_333170.htm" TargetMode="External"/><Relationship Id="rId36" Type="http://schemas.openxmlformats.org/officeDocument/2006/relationships/hyperlink" Target="http://www.sec.gov/Archives/edgar/data/787253/000143774922022855/ex_425180.htm" TargetMode="External"/><Relationship Id="rId37" Type="http://schemas.openxmlformats.org/officeDocument/2006/relationships/hyperlink" Target="http://www.sec.gov/Archives/edgar/data/787253/000143774922024096/ex_431764.htm" TargetMode="External"/><Relationship Id="rId38" Type="http://schemas.openxmlformats.org/officeDocument/2006/relationships/hyperlink" Target="http://www.sec.gov/Archives/edgar/data/787253/000143774922024096/ex_431765.htm" TargetMode="External"/><Relationship Id="rId39" Type="http://schemas.openxmlformats.org/officeDocument/2006/relationships/hyperlink" Target="http://www.sec.gov/Archives/edgar/data/787253/000143774922022855/ex_425180.htm" TargetMode="External"/><Relationship Id="rId40" Type="http://schemas.openxmlformats.org/officeDocument/2006/relationships/hyperlink" Target="http://www.sec.gov/Archives/edgar/data/787253/000143774922022855/ex_425180.htm" TargetMode="External"/><Relationship Id="rId41" Type="http://schemas.openxmlformats.org/officeDocument/2006/relationships/hyperlink" Target="http://www.sec.gov/Archives/edgar/data/787253/000143774923026521/ex_571996.htm" TargetMode="External"/><Relationship Id="rId42" Type="http://schemas.openxmlformats.org/officeDocument/2006/relationships/hyperlink" Target="http://www.sec.gov/Archives/edgar/data/787253/000143774924003906/ex_625383.htm" TargetMode="External"/><Relationship Id="rId43" Type="http://schemas.openxmlformats.org/officeDocument/2006/relationships/hyperlink" Target="http://www.sec.gov/Archives/edgar/data/787253/000143774924003906/ex_625384.htm" TargetMode="External"/><Relationship Id="rId44" Type="http://schemas.openxmlformats.org/officeDocument/2006/relationships/hyperlink" Target="http://www.sec.gov/Archives/edgar/data/787253/000143774925016911/ex_817941.htm" TargetMode="External"/><Relationship Id="rId45" Type="http://schemas.openxmlformats.org/officeDocument/2006/relationships/hyperlink" Target="http://www.sec.gov/Archives/edgar/data/787253/000143774925021047/ex_833126.htm" TargetMode="External"/><Relationship Id="rId46" Type="http://schemas.openxmlformats.org/officeDocument/2006/relationships/hyperlink" Target="http://www.sec.gov/Archives/edgar/data/787253/000143774925021047/ex_833127.htm" TargetMode="External"/><Relationship Id="rId47" Type="http://schemas.openxmlformats.org/officeDocument/2006/relationships/hyperlink" Target="http://www.sec.gov/Archives/edgar/data/787253/000143774925021047/ex_833128.htm" TargetMode="External"/><Relationship Id="rId48" Type="http://schemas.openxmlformats.org/officeDocument/2006/relationships/hyperlink" Target="http://www.sec.gov/Archives/edgar/data/787253/000143774925021738/ex_835763.htm" TargetMode="External"/><Relationship Id="rId49" Type="http://schemas.openxmlformats.org/officeDocument/2006/relationships/hyperlink" Target="http://www.sec.gov/Archives/edgar/data/787253/000143774925021738/ex_835763.htm" TargetMode="External"/><Relationship Id="rId50" Type="http://schemas.openxmlformats.org/officeDocument/2006/relationships/hyperlink" Target="http://www.sec.gov/Archives/edgar/data/787253/000143774925023101/ex_840893.htm" TargetMode="External"/><Relationship Id="rId51" Type="http://schemas.openxmlformats.org/officeDocument/2006/relationships/hyperlink" Target="http://www.sec.gov/Archives/edgar/data/787253/000143774925038181/ex_900283.htm" TargetMode="External"/><Relationship Id="rId52" Type="http://schemas.openxmlformats.org/officeDocument/2006/relationships/hyperlink" Target="http://www.sec.gov/Archives/edgar/data/787253/000143774926009247/ex_934165.htm" TargetMode="External"/><Relationship Id="rId53" Type="http://schemas.openxmlformats.org/officeDocument/2006/relationships/hyperlink" Target="http://www.sec.gov/Archives/edgar/data/787253/000143774926009247/ex_934166.htm" TargetMode="External"/><Relationship Id="rId54" Type="http://schemas.openxmlformats.org/officeDocument/2006/relationships/hyperlink" Target="http://www.sec.gov/Archives/edgar/data/787253/000143774926017684/ex_963528.htm" TargetMode="External"/><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2.jpeg"/><Relationship Id="rId63" Type="http://schemas.openxmlformats.org/officeDocument/2006/relationships/image" Target="media/image1.jpeg"/><Relationship Id="rId64" Type="http://schemas.openxmlformats.org/officeDocument/2006/relationships/image" Target="media/image3.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4.jpe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51836</Words>
  <Characters>279930</Characters>
  <CharactersWithSpaces>334367</CharactersWithSpaces>
  <Paragraphs>9578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