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Fortin Michael E</w:t>
              </w:r>
            </w:hyperlink>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NATURAL ALTERNATIVES</w:t>
              </w:r>
            </w:hyperlink>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Borders>
              <w:bottom w:val="single" w:sz="8" w:color="0000EE"/>
            </w:tcBorders>
            <w:gridSpan w:val="3"/>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INTERNATIONAL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NAII</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0" w:type="dxa"/>
            <w:vAlign w:val="bottom"/>
            <w:gridSpan w:val="7"/>
            <w:vMerge w:val="continue"/>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1535 FARADAY AVENUE</w:t>
            </w:r>
          </w:p>
        </w:tc>
        <w:tc>
          <w:tcPr>
            <w:tcW w:w="1340" w:type="dxa"/>
            <w:vAlign w:val="bottom"/>
          </w:tcPr>
          <w:p>
            <w:pPr>
              <w:spacing w:after="0"/>
              <w:rPr>
                <w:sz w:val="10"/>
                <w:szCs w:val="10"/>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gridSpan w:val="4"/>
          </w:tcPr>
          <w:p>
            <w:pPr>
              <w:spacing w:after="0"/>
              <w:rPr>
                <w:sz w:val="9"/>
                <w:szCs w:val="9"/>
                <w:color w:val="auto"/>
              </w:rPr>
            </w:pPr>
          </w:p>
        </w:tc>
        <w:tc>
          <w:tcPr>
            <w:tcW w:w="480" w:type="dxa"/>
            <w:vAlign w:val="bottom"/>
            <w:tcBorders>
              <w:bottom w:val="single" w:sz="8" w:color="2C2C2C"/>
            </w:tcBorders>
            <w:gridSpan w:val="2"/>
          </w:tcPr>
          <w:p>
            <w:pPr>
              <w:spacing w:after="0"/>
              <w:rPr>
                <w:sz w:val="9"/>
                <w:szCs w:val="9"/>
                <w:color w:val="auto"/>
              </w:rPr>
            </w:pPr>
          </w:p>
        </w:tc>
        <w:tc>
          <w:tcPr>
            <w:tcW w:w="820" w:type="dxa"/>
            <w:vAlign w:val="bottom"/>
            <w:tcBorders>
              <w:bottom w:val="single" w:sz="8" w:color="2C2C2C"/>
            </w:tcBorders>
            <w:gridSpan w:val="2"/>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CARLSBAD</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4,308</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200" w:type="dxa"/>
            <w:vAlign w:val="bottom"/>
            <w:tcBorders>
              <w:bottom w:val="single" w:sz="8" w:color="2C2C2C"/>
            </w:tcBorders>
            <w:gridSpan w:val="2"/>
          </w:tcPr>
          <w:p>
            <w:pPr>
              <w:jc w:val="center"/>
              <w:ind w:right="15"/>
              <w:spacing w:after="0"/>
              <w:rPr>
                <w:sz w:val="20"/>
                <w:szCs w:val="20"/>
                <w:color w:val="auto"/>
              </w:rPr>
            </w:pPr>
            <w:r>
              <w:rPr>
                <w:rFonts w:ascii="Times New Roman" w:cs="Times New Roman" w:eastAsia="Times New Roman" w:hAnsi="Times New Roman"/>
                <w:sz w:val="17"/>
                <w:szCs w:val="17"/>
                <w:color w:val="0000FF"/>
              </w:rPr>
              <w:t>46,554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12,000</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5"/>
              <w:spacing w:after="0"/>
              <w:rPr>
                <w:sz w:val="20"/>
                <w:szCs w:val="20"/>
                <w:color w:val="auto"/>
              </w:rPr>
            </w:pPr>
            <w:r>
              <w:rPr>
                <w:rFonts w:ascii="Times New Roman" w:cs="Times New Roman" w:eastAsia="Times New Roman" w:hAnsi="Times New Roman"/>
                <w:sz w:val="17"/>
                <w:szCs w:val="17"/>
                <w:color w:val="0000FF"/>
              </w:rPr>
              <w:t>58,554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center"/>
              <w:ind w:right="355"/>
              <w:spacing w:after="0"/>
              <w:rPr>
                <w:sz w:val="20"/>
                <w:szCs w:val="20"/>
                <w:color w:val="auto"/>
              </w:rPr>
            </w:pPr>
            <w:r>
              <w:rPr>
                <w:rFonts w:ascii="Times New Roman" w:cs="Times New Roman" w:eastAsia="Times New Roman" w:hAnsi="Times New Roman"/>
                <w:sz w:val="17"/>
                <w:szCs w:val="17"/>
                <w:color w:val="0000FF"/>
              </w:rPr>
              <w:t>185</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12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resale of 4,308 shares to the Issuer as payment of the reporting person's tax liability upon vesting of 7,666 shares of restricted stock on March 7, 2026, using the closing stock price on March 6, 2026, of $2.73 per share.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grant of restricted stock to the Officer pursuant to the Issuer's 2020 Omnibus Incentive Plan.</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third (4,000 shares) of the restricted stock vests on March 7, 2027; one third (4,000 shares) of the restricted stock vests on March 7, 2028, and the final third (4,000 shares) of the restricted stock vests on March 7, 2029.</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E. Fortin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03/10/2026</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4846" TargetMode="External"/><Relationship Id="rId14" Type="http://schemas.openxmlformats.org/officeDocument/2006/relationships/hyperlink" Target="http://www.sec.gov/cgi-bin/browse-edgar?action=getcompany&amp;CIK=0000787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2026-03-10T19:53:17Z</dcterms:created>
  <dcterms:modified xsi:type="dcterms:W3CDTF">2026-03-10T19:53:17Z</dcterms:modified>
</cp:coreProperties>
</file>