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28,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NATURAL ALTERNATIVES INTERNATIONAL,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1700" w:type="dxa"/>
        <w:tblCellMar>
          <w:top w:w="0" w:type="dxa"/>
          <w:left w:w="0" w:type="dxa"/>
          <w:bottom w:w="0" w:type="dxa"/>
          <w:right w:w="0" w:type="dxa"/>
        </w:tblCellMar>
      </w:tblPr>
      <w:tr>
        <w:trPr>
          <w:trHeight w:val="238"/>
        </w:trPr>
        <w:tc>
          <w:tcPr>
            <w:tcW w:w="236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Commission File Number: 000-15701</w:t>
            </w:r>
          </w:p>
        </w:tc>
      </w:tr>
      <w:tr>
        <w:trPr>
          <w:trHeight w:val="410"/>
        </w:trPr>
        <w:tc>
          <w:tcPr>
            <w:tcW w:w="2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80" w:type="dxa"/>
            <w:vAlign w:val="bottom"/>
          </w:tcPr>
          <w:p>
            <w:pPr>
              <w:jc w:val="center"/>
              <w:ind w:left="3570"/>
              <w:spacing w:after="0"/>
              <w:rPr>
                <w:sz w:val="20"/>
                <w:szCs w:val="20"/>
                <w:color w:val="auto"/>
              </w:rPr>
            </w:pPr>
            <w:r>
              <w:rPr>
                <w:rFonts w:ascii="Times New Roman" w:cs="Times New Roman" w:eastAsia="Times New Roman" w:hAnsi="Times New Roman"/>
                <w:sz w:val="18"/>
                <w:szCs w:val="18"/>
                <w:b w:val="1"/>
                <w:bCs w:val="1"/>
                <w:color w:val="auto"/>
                <w:w w:val="98"/>
              </w:rPr>
              <w:t>84-1007839</w:t>
            </w:r>
          </w:p>
        </w:tc>
      </w:tr>
      <w:tr>
        <w:trPr>
          <w:trHeight w:val="216"/>
        </w:trPr>
        <w:tc>
          <w:tcPr>
            <w:tcW w:w="2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5080" w:type="dxa"/>
            <w:vAlign w:val="bottom"/>
          </w:tcPr>
          <w:p>
            <w:pPr>
              <w:jc w:val="center"/>
              <w:ind w:left="357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2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5080" w:type="dxa"/>
            <w:vAlign w:val="bottom"/>
          </w:tcPr>
          <w:p>
            <w:pPr>
              <w:jc w:val="center"/>
              <w:ind w:left="35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1535 Faraday Avenue, Carlsbad, CA 92008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760-736-7700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5"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15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highlight w:val="black"/>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highlight w:val="black"/>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highlight w:val="black"/>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49"/>
        </w:trPr>
        <w:tc>
          <w:tcPr>
            <w:tcW w:w="3720" w:type="dxa"/>
            <w:vAlign w:val="bottom"/>
            <w:tcBorders>
              <w:top w:val="single" w:sz="8" w:color="auto"/>
              <w:left w:val="single" w:sz="8" w:color="auto"/>
              <w:bottom w:val="single" w:sz="8" w:color="auto"/>
              <w:right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760" w:type="dxa"/>
            <w:vAlign w:val="bottom"/>
            <w:tcBorders>
              <w:top w:val="single" w:sz="8" w:color="auto"/>
              <w:bottom w:val="single" w:sz="8" w:color="auto"/>
              <w:right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60" w:type="dxa"/>
            <w:vAlign w:val="bottom"/>
            <w:tcBorders>
              <w:top w:val="single" w:sz="8" w:color="auto"/>
              <w:bottom w:val="single" w:sz="8" w:color="auto"/>
              <w:right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720" w:type="dxa"/>
            <w:vAlign w:val="bottom"/>
            <w:tcBorders>
              <w:left w:val="single" w:sz="8" w:color="auto"/>
              <w:bottom w:val="single" w:sz="8" w:color="auto"/>
              <w:right w:val="single" w:sz="8" w:color="auto"/>
            </w:tcBorders>
          </w:tcPr>
          <w:p>
            <w:pPr>
              <w:jc w:val="center"/>
              <w:ind w:left="1070"/>
              <w:spacing w:after="0" w:line="193" w:lineRule="exact"/>
              <w:rPr>
                <w:sz w:val="20"/>
                <w:szCs w:val="20"/>
                <w:color w:val="auto"/>
              </w:rPr>
            </w:pPr>
            <w:r>
              <w:rPr>
                <w:rFonts w:ascii="Times New Roman" w:cs="Times New Roman" w:eastAsia="Times New Roman" w:hAnsi="Times New Roman"/>
                <w:sz w:val="18"/>
                <w:szCs w:val="18"/>
                <w:color w:val="auto"/>
              </w:rPr>
              <w:t>Common</w:t>
            </w:r>
          </w:p>
        </w:tc>
        <w:tc>
          <w:tcPr>
            <w:tcW w:w="3760" w:type="dxa"/>
            <w:vAlign w:val="bottom"/>
            <w:tcBorders>
              <w:bottom w:val="single" w:sz="8" w:color="auto"/>
              <w:right w:val="single" w:sz="8" w:color="auto"/>
            </w:tcBorders>
          </w:tcPr>
          <w:p>
            <w:pPr>
              <w:jc w:val="center"/>
              <w:ind w:left="770"/>
              <w:spacing w:after="0" w:line="193" w:lineRule="exact"/>
              <w:rPr>
                <w:sz w:val="20"/>
                <w:szCs w:val="20"/>
                <w:color w:val="auto"/>
              </w:rPr>
            </w:pPr>
            <w:r>
              <w:rPr>
                <w:rFonts w:ascii="Times New Roman" w:cs="Times New Roman" w:eastAsia="Times New Roman" w:hAnsi="Times New Roman"/>
                <w:sz w:val="18"/>
                <w:szCs w:val="18"/>
                <w:color w:val="auto"/>
                <w:w w:val="99"/>
              </w:rPr>
              <w:t>NAII</w:t>
            </w:r>
          </w:p>
        </w:tc>
        <w:tc>
          <w:tcPr>
            <w:tcW w:w="3760" w:type="dxa"/>
            <w:vAlign w:val="bottom"/>
            <w:tcBorders>
              <w:bottom w:val="single" w:sz="8" w:color="auto"/>
              <w:right w:val="single" w:sz="8" w:color="auto"/>
            </w:tcBorders>
          </w:tcPr>
          <w:p>
            <w:pPr>
              <w:jc w:val="center"/>
              <w:ind w:left="290"/>
              <w:spacing w:after="0" w:line="193" w:lineRule="exact"/>
              <w:rPr>
                <w:sz w:val="20"/>
                <w:szCs w:val="20"/>
                <w:color w:val="auto"/>
              </w:rPr>
            </w:pPr>
            <w:r>
              <w:rPr>
                <w:rFonts w:ascii="Times New Roman" w:cs="Times New Roman" w:eastAsia="Times New Roman" w:hAnsi="Times New Roman"/>
                <w:sz w:val="18"/>
                <w:szCs w:val="18"/>
                <w:color w:val="auto"/>
                <w:w w:val="98"/>
              </w:rPr>
              <w:t>NASDAQ</w:t>
            </w:r>
          </w:p>
        </w:tc>
      </w:tr>
    </w:tbl>
    <w:p>
      <w:pPr>
        <w:spacing w:after="0" w:line="198"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Michael E. Fortin has given his notice of resignation as the Chief Financial Officer of the Company effective May 15, 2026. Mr. Fortin has accepted an offer to become the CFO for another company with increased responsibilities and opportunities for his professional growth.</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While the Company seeks a replacement Chief Financial Officer, Kenneth E. Wolf the President of the Company who was formerly the Company's Chief Financial Officer, will act as the Company's Principal Financial and Principal Accounting Officer.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Natural Alternatives International,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 Kenneth E. Wolf, President</w:t>
            </w:r>
          </w:p>
        </w:tc>
      </w:tr>
      <w:tr>
        <w:trPr>
          <w:trHeight w:val="22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Dated: May 1, 2026</w:t>
            </w:r>
          </w:p>
        </w:tc>
        <w:tc>
          <w:tcPr>
            <w:tcW w:w="3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Kenneth E. Wolf, President</w:t>
            </w:r>
          </w:p>
        </w:tc>
      </w:tr>
    </w:tbl>
    <w:p>
      <w:pPr>
        <w:spacing w:after="0" w:line="1" w:lineRule="exact"/>
        <w:rPr>
          <w:sz w:val="20"/>
          <w:szCs w:val="20"/>
          <w:color w:val="auto"/>
        </w:rPr>
      </w:pPr>
    </w:p>
    <w:sectPr>
      <w:pgSz w:w="11900" w:h="16838" w:orient="portrait"/>
      <w:cols w:equalWidth="0" w:num="1">
        <w:col w:w="11220"/>
      </w:cols>
      <w:pgMar w:left="320" w:top="57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2026-05-01T16:11:33Z</dcterms:created>
  <dcterms:modified xsi:type="dcterms:W3CDTF">2026-05-01T16:11:33Z</dcterms:modified>
</cp:coreProperties>
</file>